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7" w:rsidRDefault="004735C7" w:rsidP="00AC5B17">
      <w:pPr>
        <w:tabs>
          <w:tab w:val="left" w:pos="426"/>
        </w:tabs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4853A0">
        <w:rPr>
          <w:rFonts w:eastAsiaTheme="minorHAnsi" w:cs="Arial"/>
          <w:b/>
          <w:sz w:val="24"/>
        </w:rPr>
        <w:t>S138</w:t>
      </w:r>
      <w:r w:rsidR="004A0E75" w:rsidRPr="004A0E75">
        <w:rPr>
          <w:rFonts w:eastAsiaTheme="minorHAnsi" w:cs="Arial"/>
          <w:b/>
          <w:sz w:val="24"/>
        </w:rPr>
        <w:t>/1</w:t>
      </w:r>
      <w:r w:rsidR="009565C7">
        <w:rPr>
          <w:rFonts w:eastAsiaTheme="minorHAnsi" w:cs="Arial"/>
          <w:b/>
          <w:sz w:val="24"/>
        </w:rPr>
        <w:t>8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AC5B17" w:rsidRPr="00150824" w:rsidRDefault="00AC5B17" w:rsidP="004735C7">
      <w:pPr>
        <w:spacing w:after="0"/>
        <w:ind w:left="0" w:right="0"/>
        <w:jc w:val="center"/>
        <w:rPr>
          <w:rFonts w:cs="Arial"/>
          <w:b/>
          <w:szCs w:val="20"/>
        </w:rPr>
      </w:pPr>
    </w:p>
    <w:p w:rsidR="005F4557" w:rsidRPr="00AC5B17" w:rsidRDefault="005F4557" w:rsidP="00AC5B17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AC5B17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AC5B17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47731F">
      <w:pPr>
        <w:pStyle w:val="odrka1"/>
        <w:tabs>
          <w:tab w:val="clear" w:pos="284"/>
          <w:tab w:val="left" w:pos="426"/>
        </w:tabs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47731F">
      <w:pPr>
        <w:pStyle w:val="odrka1"/>
        <w:tabs>
          <w:tab w:val="clear" w:pos="284"/>
          <w:tab w:val="left" w:pos="426"/>
        </w:tabs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5E4AEB">
      <w:pPr>
        <w:pStyle w:val="odrka1"/>
        <w:tabs>
          <w:tab w:val="clear" w:pos="284"/>
          <w:tab w:val="left" w:pos="426"/>
        </w:tabs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5E4AEB">
      <w:pPr>
        <w:pStyle w:val="odrka1"/>
        <w:tabs>
          <w:tab w:val="clear" w:pos="284"/>
          <w:tab w:val="left" w:pos="0"/>
        </w:tabs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5E4AEB">
      <w:pPr>
        <w:pStyle w:val="odrka1"/>
        <w:tabs>
          <w:tab w:val="clear" w:pos="284"/>
          <w:tab w:val="left" w:pos="0"/>
        </w:tabs>
        <w:spacing w:before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6FE5" w:rsidRDefault="00706FE5" w:rsidP="00706FE5">
      <w:pPr>
        <w:pStyle w:val="Nadpis2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lastRenderedPageBreak/>
        <w:t>3.1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500B0D" w:rsidRPr="00FA0D28">
        <w:rPr>
          <w:rFonts w:cs="Arial"/>
          <w:sz w:val="20"/>
          <w:szCs w:val="20"/>
        </w:rPr>
        <w:t>Osobní ochranné prostředky pro externí zaměstnance</w:t>
      </w:r>
    </w:p>
    <w:p w:rsidR="00706FE5" w:rsidRDefault="00706FE5" w:rsidP="00706FE5">
      <w:pPr>
        <w:pStyle w:val="Nadpis2"/>
        <w:numPr>
          <w:ilvl w:val="0"/>
          <w:numId w:val="0"/>
        </w:numPr>
        <w:spacing w:before="0"/>
        <w:rPr>
          <w:sz w:val="20"/>
          <w:szCs w:val="20"/>
        </w:rPr>
      </w:pPr>
    </w:p>
    <w:p w:rsidR="00500B0D" w:rsidRPr="00FA0D28" w:rsidRDefault="00500B0D" w:rsidP="00706FE5">
      <w:pPr>
        <w:pStyle w:val="Nadpis2"/>
        <w:numPr>
          <w:ilvl w:val="0"/>
          <w:numId w:val="0"/>
        </w:numPr>
        <w:spacing w:before="0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706FE5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500B0D" w:rsidRPr="00150824" w:rsidRDefault="00500B0D" w:rsidP="00706FE5">
      <w:pPr>
        <w:pStyle w:val="Nadpis3"/>
        <w:numPr>
          <w:ilvl w:val="0"/>
          <w:numId w:val="0"/>
        </w:numPr>
        <w:tabs>
          <w:tab w:val="clear" w:pos="397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706FE5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A83EBD" w:rsidRPr="00150824" w:rsidRDefault="00FA0D28" w:rsidP="00706FE5">
      <w:pPr>
        <w:pStyle w:val="Nadpis3"/>
        <w:numPr>
          <w:ilvl w:val="0"/>
          <w:numId w:val="0"/>
        </w:numPr>
        <w:tabs>
          <w:tab w:val="clear" w:pos="397"/>
        </w:tabs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706FE5" w:rsidRDefault="00A83EBD" w:rsidP="00706FE5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</w:p>
    <w:p w:rsidR="00056B39" w:rsidRPr="00150824" w:rsidRDefault="00500B0D" w:rsidP="00706FE5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  </w:t>
      </w: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3.2</w:t>
      </w:r>
      <w:proofErr w:type="gramEnd"/>
      <w:r w:rsidR="0048572F">
        <w:rPr>
          <w:rFonts w:cs="Arial"/>
          <w:sz w:val="20"/>
          <w:szCs w:val="20"/>
        </w:rPr>
        <w:t>.</w:t>
      </w:r>
      <w:r w:rsidR="0048572F">
        <w:rPr>
          <w:rFonts w:cs="Arial"/>
          <w:sz w:val="20"/>
          <w:szCs w:val="20"/>
        </w:rPr>
        <w:tab/>
      </w:r>
      <w:r w:rsidR="00974D61" w:rsidRPr="00150824">
        <w:rPr>
          <w:rFonts w:cs="Arial"/>
          <w:sz w:val="20"/>
          <w:szCs w:val="20"/>
        </w:rPr>
        <w:t>Hrubé</w:t>
      </w:r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14104D" w:rsidRPr="00150824" w:rsidRDefault="0014104D" w:rsidP="0048572F">
      <w:pPr>
        <w:pStyle w:val="romanv2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>.</w:t>
      </w:r>
      <w:proofErr w:type="gramEnd"/>
      <w:r w:rsidR="001D0464" w:rsidRPr="00150824">
        <w:rPr>
          <w:rFonts w:ascii="Arial" w:hAnsi="Arial" w:cs="Arial"/>
          <w:sz w:val="20"/>
          <w:szCs w:val="20"/>
        </w:rPr>
        <w:t xml:space="preserve">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48572F" w:rsidP="0048572F">
      <w:pPr>
        <w:pStyle w:val="Nadpis2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3.3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E62FC3" w:rsidRPr="00E03B63">
        <w:rPr>
          <w:rFonts w:cs="Arial"/>
          <w:sz w:val="20"/>
          <w:szCs w:val="20"/>
        </w:rPr>
        <w:t>Zákaz fotografování</w:t>
      </w: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173F52" w:rsidRPr="00150824" w:rsidRDefault="0048572F" w:rsidP="0048572F">
      <w:pPr>
        <w:pStyle w:val="Nadpis2"/>
        <w:numPr>
          <w:ilvl w:val="0"/>
          <w:numId w:val="0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3.4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173F52" w:rsidRPr="00150824">
        <w:rPr>
          <w:rFonts w:cs="Arial"/>
          <w:sz w:val="20"/>
          <w:szCs w:val="20"/>
        </w:rPr>
        <w:t xml:space="preserve">Mlčenlivost </w:t>
      </w: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48572F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F85171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E51E6" w:rsidRPr="00150824" w:rsidRDefault="00D7745E" w:rsidP="0048572F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096840" w:rsidRDefault="00F85171" w:rsidP="00F85171">
      <w:pPr>
        <w:pStyle w:val="Nadpis2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6.1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647E1D"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F85171">
      <w:pPr>
        <w:pStyle w:val="Nadpis1"/>
        <w:numPr>
          <w:ilvl w:val="0"/>
          <w:numId w:val="19"/>
        </w:numPr>
        <w:tabs>
          <w:tab w:val="num" w:pos="284"/>
        </w:tabs>
        <w:spacing w:before="0" w:after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77ECC04"/>
    <w:lvl w:ilvl="0">
      <w:start w:val="1"/>
      <w:numFmt w:val="decimal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199" w:hanging="360"/>
      </w:pPr>
    </w:lvl>
    <w:lvl w:ilvl="2" w:tplc="0405001B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7731F"/>
    <w:rsid w:val="004803FB"/>
    <w:rsid w:val="004853A0"/>
    <w:rsid w:val="0048572F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E4AEB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06FE5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86065"/>
    <w:rsid w:val="00997D4F"/>
    <w:rsid w:val="009B05DA"/>
    <w:rsid w:val="009B1B1F"/>
    <w:rsid w:val="009B220A"/>
    <w:rsid w:val="009C2C17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5B17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42F96"/>
    <w:rsid w:val="00D76B3C"/>
    <w:rsid w:val="00D7745E"/>
    <w:rsid w:val="00D86D28"/>
    <w:rsid w:val="00DA3013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85171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spacing w:before="240" w:after="60"/>
      <w:ind w:left="0"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num" w:pos="284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tabs>
        <w:tab w:val="num" w:pos="284"/>
      </w:tabs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tabs>
        <w:tab w:val="num" w:pos="284"/>
      </w:tabs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tabs>
        <w:tab w:val="num" w:pos="284"/>
      </w:tabs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tabs>
        <w:tab w:val="num" w:pos="284"/>
      </w:tabs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tabs>
        <w:tab w:val="num" w:pos="284"/>
      </w:tabs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spacing w:before="240" w:after="60"/>
      <w:ind w:left="0"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num" w:pos="284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tabs>
        <w:tab w:val="num" w:pos="284"/>
      </w:tabs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tabs>
        <w:tab w:val="num" w:pos="284"/>
      </w:tabs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tabs>
        <w:tab w:val="num" w:pos="284"/>
      </w:tabs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tabs>
        <w:tab w:val="num" w:pos="284"/>
      </w:tabs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tabs>
        <w:tab w:val="num" w:pos="284"/>
      </w:tabs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89B1-6082-4C25-BFCA-0B98839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Marcela Ráchelová</cp:lastModifiedBy>
  <cp:revision>12</cp:revision>
  <cp:lastPrinted>2015-09-22T10:25:00Z</cp:lastPrinted>
  <dcterms:created xsi:type="dcterms:W3CDTF">2017-08-15T11:07:00Z</dcterms:created>
  <dcterms:modified xsi:type="dcterms:W3CDTF">2018-04-16T09:38:00Z</dcterms:modified>
</cp:coreProperties>
</file>