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8399" w14:textId="2B2B5726"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545662">
        <w:rPr>
          <w:rFonts w:eastAsiaTheme="minorHAnsi" w:cs="Arial"/>
          <w:b/>
          <w:sz w:val="24"/>
        </w:rPr>
        <w:t>3</w:t>
      </w:r>
      <w:r w:rsidRPr="00EE0D74">
        <w:rPr>
          <w:rFonts w:eastAsiaTheme="minorHAnsi" w:cs="Arial"/>
          <w:b/>
          <w:sz w:val="24"/>
        </w:rPr>
        <w:t xml:space="preserve"> </w:t>
      </w:r>
    </w:p>
    <w:p w14:paraId="13967C05" w14:textId="77777777"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14:paraId="0F2093D3" w14:textId="77777777"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bookmarkStart w:id="0" w:name="_Hlk105564979"/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bookmarkEnd w:id="0"/>
    <w:p w14:paraId="6FD3CE7B" w14:textId="77777777"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14:paraId="2BA533CE" w14:textId="77777777"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14:paraId="7BC127B2" w14:textId="77777777"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14:paraId="3C1CCAE8" w14:textId="77777777"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7A0E7D8" w14:textId="77777777"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14:paraId="32EB20D6" w14:textId="77777777"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015783A5" w14:textId="77777777"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1561F283" w14:textId="77777777"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14:paraId="69A14D73" w14:textId="77777777"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14:paraId="6C253384" w14:textId="77777777"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A364556" w14:textId="77777777"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14:paraId="3F0EF425" w14:textId="77777777"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3BB90B9B" w14:textId="77777777"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4FEFCD2" w14:textId="77777777"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14:paraId="0535D105" w14:textId="77777777"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7CA0604A" w14:textId="77777777"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F9AEEEB" w14:textId="6D4C2ED6"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</w:t>
      </w:r>
      <w:r w:rsidR="00A61B14">
        <w:rPr>
          <w:rFonts w:ascii="Arial" w:hAnsi="Arial" w:cs="Arial"/>
          <w:sz w:val="20"/>
          <w:szCs w:val="20"/>
        </w:rPr>
        <w:t> </w:t>
      </w:r>
      <w:r w:rsidR="00CF4B0C" w:rsidRPr="00150824">
        <w:rPr>
          <w:rFonts w:ascii="Arial" w:hAnsi="Arial" w:cs="Arial"/>
          <w:sz w:val="20"/>
          <w:szCs w:val="20"/>
        </w:rPr>
        <w:t>uvedením</w:t>
      </w:r>
      <w:r w:rsidR="00A61B14">
        <w:rPr>
          <w:rFonts w:ascii="Arial" w:hAnsi="Arial" w:cs="Arial"/>
          <w:sz w:val="20"/>
          <w:szCs w:val="20"/>
        </w:rPr>
        <w:t>,</w:t>
      </w:r>
      <w:r w:rsidR="00CF4B0C" w:rsidRPr="00150824">
        <w:rPr>
          <w:rFonts w:ascii="Arial" w:hAnsi="Arial" w:cs="Arial"/>
          <w:sz w:val="20"/>
          <w:szCs w:val="20"/>
        </w:rPr>
        <w:t xml:space="preserve">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14:paraId="65CC86E9" w14:textId="77777777"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26074CE" w14:textId="77777777"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96DECB5" w14:textId="77777777"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14:paraId="091ECEEC" w14:textId="77777777" w:rsidR="00861759" w:rsidRPr="00150824" w:rsidRDefault="00861759" w:rsidP="00861759">
      <w:pPr>
        <w:spacing w:after="0"/>
        <w:rPr>
          <w:rFonts w:cs="Arial"/>
          <w:szCs w:val="20"/>
        </w:rPr>
      </w:pPr>
    </w:p>
    <w:p w14:paraId="7DF4EE40" w14:textId="77777777"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38650822" w14:textId="77777777"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</w:t>
      </w:r>
      <w:proofErr w:type="gramStart"/>
      <w:r w:rsidR="00292DE6" w:rsidRPr="00150824">
        <w:rPr>
          <w:rFonts w:ascii="Arial" w:hAnsi="Arial" w:cs="Arial"/>
          <w:sz w:val="20"/>
          <w:szCs w:val="20"/>
        </w:rPr>
        <w:t>ručí</w:t>
      </w:r>
      <w:proofErr w:type="gramEnd"/>
      <w:r w:rsidR="00292DE6" w:rsidRPr="001508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16F5D5FF" w14:textId="77777777"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14:paraId="701F62B6" w14:textId="77777777"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14:paraId="7F1AE077" w14:textId="77777777"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14:paraId="45223B47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14:paraId="4D48EAFC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14:paraId="016B975F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14:paraId="179AD87A" w14:textId="77777777"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14:paraId="2A6F864E" w14:textId="77777777"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14:paraId="13803658" w14:textId="77777777"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14:paraId="38B17B30" w14:textId="77777777"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14:paraId="0BCFBEE3" w14:textId="77777777"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14:paraId="3BDACF8D" w14:textId="77777777"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14:paraId="545919D5" w14:textId="77777777"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7940D066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687D8F5" w14:textId="77777777"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14:paraId="649B0B3D" w14:textId="77777777"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14:paraId="2B0B1401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630B32F8" w14:textId="77777777"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14:paraId="3FAF2E4F" w14:textId="77777777"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14:paraId="3E905ADA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2FA21FB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10F66A49" w14:textId="1EADADB9"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3.2 </w:t>
      </w:r>
      <w:r w:rsidR="00974D61" w:rsidRPr="00150824">
        <w:rPr>
          <w:rFonts w:cs="Arial"/>
          <w:sz w:val="20"/>
          <w:szCs w:val="20"/>
        </w:rPr>
        <w:t>Hrubé</w:t>
      </w:r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14:paraId="58582CAA" w14:textId="77777777" w:rsidR="00681EAB" w:rsidRDefault="00681EAB" w:rsidP="00CC3C69">
      <w:pPr>
        <w:spacing w:after="0"/>
        <w:ind w:left="0"/>
        <w:rPr>
          <w:rFonts w:cs="Arial"/>
          <w:szCs w:val="20"/>
        </w:rPr>
      </w:pPr>
    </w:p>
    <w:p w14:paraId="49B64DCC" w14:textId="77777777"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71D3755B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584A13A0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14:paraId="2CDFCCCC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14:paraId="20C088A0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14:paraId="154625CA" w14:textId="77777777"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14:paraId="3F246AAF" w14:textId="77777777"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14:paraId="731D8D2B" w14:textId="77777777"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4FBDA368" w14:textId="77777777"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14:paraId="39329F21" w14:textId="77777777"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60F805D" w14:textId="77777777"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7BBC65A5" w14:textId="77777777"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14:paraId="0594606F" w14:textId="77777777"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14:paraId="28442E9C" w14:textId="07EE4DEE"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>agresivní, 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>jízda</w:t>
      </w:r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 xml:space="preserve">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5ABCD78F" w14:textId="2739334E"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A61B14" w:rsidRPr="00150824">
        <w:rPr>
          <w:rFonts w:ascii="Arial" w:hAnsi="Arial" w:cs="Arial"/>
          <w:sz w:val="20"/>
          <w:szCs w:val="20"/>
          <w:u w:val="single"/>
        </w:rPr>
        <w:t>povinností</w:t>
      </w:r>
      <w:r w:rsidR="00A61B14" w:rsidRPr="00150824">
        <w:rPr>
          <w:rFonts w:ascii="Arial" w:hAnsi="Arial" w:cs="Arial"/>
          <w:sz w:val="20"/>
          <w:szCs w:val="20"/>
        </w:rPr>
        <w:t xml:space="preserve"> – 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14:paraId="19A66E54" w14:textId="77777777"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0E35D24" w14:textId="77777777"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14:paraId="4D78F2A3" w14:textId="77777777"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14:paraId="340138C6" w14:textId="77777777"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</w:t>
      </w:r>
      <w:proofErr w:type="gramStart"/>
      <w:r w:rsidR="009453CE" w:rsidRPr="00150824">
        <w:rPr>
          <w:rFonts w:ascii="Arial" w:hAnsi="Arial" w:cs="Arial"/>
          <w:sz w:val="20"/>
          <w:szCs w:val="20"/>
        </w:rPr>
        <w:t>tvoří</w:t>
      </w:r>
      <w:proofErr w:type="gramEnd"/>
      <w:r w:rsidR="009453CE" w:rsidRPr="00150824">
        <w:rPr>
          <w:rFonts w:ascii="Arial" w:hAnsi="Arial" w:cs="Arial"/>
          <w:sz w:val="20"/>
          <w:szCs w:val="20"/>
        </w:rPr>
        <w:t xml:space="preserve">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14:paraId="2DEBCA70" w14:textId="77777777"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9C2019B" w14:textId="77777777"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2C465C2" w14:textId="77777777"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380A423" w14:textId="77777777"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14:paraId="69259254" w14:textId="77777777" w:rsidR="00835AD6" w:rsidRPr="00150824" w:rsidRDefault="00835AD6" w:rsidP="00D20C97">
      <w:pPr>
        <w:spacing w:after="0"/>
        <w:rPr>
          <w:rFonts w:cs="Arial"/>
          <w:szCs w:val="20"/>
        </w:rPr>
      </w:pPr>
    </w:p>
    <w:p w14:paraId="616B8285" w14:textId="77777777"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14:paraId="747B18A2" w14:textId="77777777"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316CE368" w14:textId="77777777"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95CDDA1" w14:textId="77777777"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AAF42F4" w14:textId="77777777"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14:paraId="70A85FD5" w14:textId="77777777" w:rsidR="006A7563" w:rsidRPr="00150824" w:rsidRDefault="006A7563" w:rsidP="006A7563">
      <w:pPr>
        <w:spacing w:after="0"/>
        <w:rPr>
          <w:rFonts w:cs="Arial"/>
          <w:szCs w:val="20"/>
        </w:rPr>
      </w:pPr>
    </w:p>
    <w:p w14:paraId="06715C61" w14:textId="77777777"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45F19B3A" w14:textId="77777777"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60DCDD6E" w14:textId="77777777"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1427AB3E" w14:textId="77777777"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14:paraId="50E11AAD" w14:textId="77777777" w:rsidR="006A7563" w:rsidRPr="00150824" w:rsidRDefault="006A7563" w:rsidP="006A7563">
      <w:pPr>
        <w:spacing w:after="0"/>
        <w:rPr>
          <w:rFonts w:cs="Arial"/>
          <w:szCs w:val="20"/>
        </w:rPr>
      </w:pPr>
    </w:p>
    <w:p w14:paraId="66C93EAE" w14:textId="77777777"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51767F43" w14:textId="77777777"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49FD1650" w14:textId="77777777"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0D4DE743" w14:textId="77777777"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00ADB3E9" w14:textId="77777777"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22DB9876" w14:textId="77777777"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14:paraId="5D749DCA" w14:textId="77777777"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5DD63931" w14:textId="77777777"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7E5CF70C" w14:textId="77777777"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14:paraId="4F7E76ED" w14:textId="77777777"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14:paraId="41A54DC5" w14:textId="77777777"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14:paraId="7DA55914" w14:textId="049E638C"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První </w:t>
      </w:r>
      <w:r w:rsidR="00A61B14" w:rsidRPr="00150824">
        <w:rPr>
          <w:rFonts w:ascii="Arial" w:hAnsi="Arial" w:cs="Arial"/>
          <w:sz w:val="20"/>
          <w:szCs w:val="20"/>
        </w:rPr>
        <w:t>porušení – pokuta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4B573E4A" w14:textId="77777777"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14:paraId="6CFD779E" w14:textId="77777777"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14:paraId="52E2E753" w14:textId="77777777"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65D14FF7" w14:textId="77777777"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14:paraId="29F59764" w14:textId="77777777"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14:paraId="4DBD96F1" w14:textId="77777777"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14:paraId="7D547D8E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14:paraId="2D61A0E8" w14:textId="62E7628D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10.000 Kč;</w:t>
      </w:r>
    </w:p>
    <w:p w14:paraId="1566A28D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14:paraId="1D76AC87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EC2E2E">
        <w:rPr>
          <w:rFonts w:ascii="Arial" w:hAnsi="Arial" w:cs="Arial"/>
          <w:sz w:val="20"/>
          <w:szCs w:val="20"/>
        </w:rPr>
        <w:t>;</w:t>
      </w:r>
    </w:p>
    <w:p w14:paraId="6CC57E72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EC2E2E">
        <w:rPr>
          <w:rFonts w:ascii="Arial" w:hAnsi="Arial" w:cs="Arial"/>
          <w:sz w:val="20"/>
          <w:szCs w:val="20"/>
        </w:rPr>
        <w:t>;</w:t>
      </w:r>
    </w:p>
    <w:p w14:paraId="6F90DF96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23DE6738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14:paraId="262A8E36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499E704E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5E472D23" w14:textId="77777777"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6B9B7885" w14:textId="77777777"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466B7A3B" w14:textId="61BC9C8E"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>nebo</w:t>
      </w:r>
      <w:r w:rsidRPr="00150824">
        <w:rPr>
          <w:rFonts w:ascii="Arial" w:hAnsi="Arial" w:cs="Arial"/>
          <w:sz w:val="20"/>
          <w:szCs w:val="20"/>
        </w:rPr>
        <w:t xml:space="preserve"> zda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14:paraId="243D0346" w14:textId="77777777"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14:paraId="53B3661A" w14:textId="77777777"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14:paraId="2460CCD6" w14:textId="77777777"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14:paraId="309EFBF8" w14:textId="77777777"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14:paraId="5E3524D8" w14:textId="77777777"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14:paraId="37D364CF" w14:textId="77777777"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3CF3A15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FF40C25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082E372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85C7DEE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F57F46C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C48885D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5A402F1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011C95F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157674">
    <w:abstractNumId w:val="0"/>
  </w:num>
  <w:num w:numId="2" w16cid:durableId="1997759156">
    <w:abstractNumId w:val="0"/>
  </w:num>
  <w:num w:numId="3" w16cid:durableId="343476568">
    <w:abstractNumId w:val="0"/>
  </w:num>
  <w:num w:numId="4" w16cid:durableId="310404377">
    <w:abstractNumId w:val="0"/>
  </w:num>
  <w:num w:numId="5" w16cid:durableId="1892883379">
    <w:abstractNumId w:val="0"/>
  </w:num>
  <w:num w:numId="6" w16cid:durableId="1768312340">
    <w:abstractNumId w:val="0"/>
  </w:num>
  <w:num w:numId="7" w16cid:durableId="1969046548">
    <w:abstractNumId w:val="0"/>
  </w:num>
  <w:num w:numId="8" w16cid:durableId="435826578">
    <w:abstractNumId w:val="0"/>
  </w:num>
  <w:num w:numId="9" w16cid:durableId="805120152">
    <w:abstractNumId w:val="0"/>
  </w:num>
  <w:num w:numId="10" w16cid:durableId="1611011346">
    <w:abstractNumId w:val="2"/>
  </w:num>
  <w:num w:numId="11" w16cid:durableId="1950162648">
    <w:abstractNumId w:val="6"/>
  </w:num>
  <w:num w:numId="12" w16cid:durableId="767238994">
    <w:abstractNumId w:val="10"/>
  </w:num>
  <w:num w:numId="13" w16cid:durableId="703484620">
    <w:abstractNumId w:val="3"/>
  </w:num>
  <w:num w:numId="14" w16cid:durableId="1005664943">
    <w:abstractNumId w:val="8"/>
  </w:num>
  <w:num w:numId="15" w16cid:durableId="95369692">
    <w:abstractNumId w:val="9"/>
  </w:num>
  <w:num w:numId="16" w16cid:durableId="1917588423">
    <w:abstractNumId w:val="1"/>
  </w:num>
  <w:num w:numId="17" w16cid:durableId="524638602">
    <w:abstractNumId w:val="5"/>
  </w:num>
  <w:num w:numId="18" w16cid:durableId="711614142">
    <w:abstractNumId w:val="4"/>
  </w:num>
  <w:num w:numId="19" w16cid:durableId="609774781">
    <w:abstractNumId w:val="7"/>
  </w:num>
  <w:num w:numId="20" w16cid:durableId="710036307">
    <w:abstractNumId w:val="0"/>
    <w:lvlOverride w:ilvl="0">
      <w:startOverride w:val="3"/>
    </w:lvlOverride>
    <w:lvlOverride w:ilvl="1">
      <w:startOverride w:val="1"/>
    </w:lvlOverride>
  </w:num>
  <w:num w:numId="21" w16cid:durableId="1650789575">
    <w:abstractNumId w:val="0"/>
    <w:lvlOverride w:ilvl="0">
      <w:startOverride w:val="3"/>
    </w:lvlOverride>
    <w:lvlOverride w:ilvl="1">
      <w:startOverride w:val="1"/>
    </w:lvlOverride>
  </w:num>
  <w:num w:numId="22" w16cid:durableId="2097552433">
    <w:abstractNumId w:val="0"/>
    <w:lvlOverride w:ilvl="0">
      <w:startOverride w:val="3"/>
    </w:lvlOverride>
    <w:lvlOverride w:ilvl="1">
      <w:startOverride w:val="1"/>
    </w:lvlOverride>
  </w:num>
  <w:num w:numId="23" w16cid:durableId="1254584152">
    <w:abstractNumId w:val="0"/>
    <w:lvlOverride w:ilvl="0">
      <w:startOverride w:val="3"/>
    </w:lvlOverride>
    <w:lvlOverride w:ilvl="1">
      <w:startOverride w:val="1"/>
    </w:lvlOverride>
  </w:num>
  <w:num w:numId="24" w16cid:durableId="1952323722">
    <w:abstractNumId w:val="0"/>
    <w:lvlOverride w:ilvl="0">
      <w:startOverride w:val="3"/>
    </w:lvlOverride>
    <w:lvlOverride w:ilvl="1">
      <w:startOverride w:val="3"/>
    </w:lvlOverride>
  </w:num>
  <w:num w:numId="25" w16cid:durableId="366300703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37B4A"/>
    <w:rsid w:val="000547F4"/>
    <w:rsid w:val="00056B39"/>
    <w:rsid w:val="00066411"/>
    <w:rsid w:val="00070C80"/>
    <w:rsid w:val="00096840"/>
    <w:rsid w:val="000E13EB"/>
    <w:rsid w:val="000E1996"/>
    <w:rsid w:val="0010494B"/>
    <w:rsid w:val="00107AD5"/>
    <w:rsid w:val="0014104D"/>
    <w:rsid w:val="00150824"/>
    <w:rsid w:val="001603D0"/>
    <w:rsid w:val="00173F52"/>
    <w:rsid w:val="001B00DE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2F58B2"/>
    <w:rsid w:val="003520A8"/>
    <w:rsid w:val="003955BC"/>
    <w:rsid w:val="003A283E"/>
    <w:rsid w:val="003E49E1"/>
    <w:rsid w:val="003E5CB6"/>
    <w:rsid w:val="0040585F"/>
    <w:rsid w:val="004061E9"/>
    <w:rsid w:val="00422955"/>
    <w:rsid w:val="00427464"/>
    <w:rsid w:val="004639FE"/>
    <w:rsid w:val="004735C7"/>
    <w:rsid w:val="004803FB"/>
    <w:rsid w:val="00494B99"/>
    <w:rsid w:val="004B7CFD"/>
    <w:rsid w:val="004C3878"/>
    <w:rsid w:val="004C3FA6"/>
    <w:rsid w:val="004C7907"/>
    <w:rsid w:val="004D005C"/>
    <w:rsid w:val="004F4E94"/>
    <w:rsid w:val="00500B0D"/>
    <w:rsid w:val="00505AF7"/>
    <w:rsid w:val="00545662"/>
    <w:rsid w:val="00550510"/>
    <w:rsid w:val="005549A4"/>
    <w:rsid w:val="00576534"/>
    <w:rsid w:val="00580443"/>
    <w:rsid w:val="00585019"/>
    <w:rsid w:val="00596BFE"/>
    <w:rsid w:val="005B01B7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279B0"/>
    <w:rsid w:val="007341DA"/>
    <w:rsid w:val="00757785"/>
    <w:rsid w:val="0077456B"/>
    <w:rsid w:val="00776713"/>
    <w:rsid w:val="0078593A"/>
    <w:rsid w:val="00790DDF"/>
    <w:rsid w:val="007918B4"/>
    <w:rsid w:val="00793F6D"/>
    <w:rsid w:val="007A2597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14D80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1B14"/>
    <w:rsid w:val="00A634DE"/>
    <w:rsid w:val="00A66AD5"/>
    <w:rsid w:val="00A718D4"/>
    <w:rsid w:val="00A83EBD"/>
    <w:rsid w:val="00A855DE"/>
    <w:rsid w:val="00AB4B39"/>
    <w:rsid w:val="00AC7677"/>
    <w:rsid w:val="00AD13CB"/>
    <w:rsid w:val="00AF22D7"/>
    <w:rsid w:val="00AF3E94"/>
    <w:rsid w:val="00AF5B5F"/>
    <w:rsid w:val="00B024FA"/>
    <w:rsid w:val="00B03012"/>
    <w:rsid w:val="00B110F7"/>
    <w:rsid w:val="00B205D0"/>
    <w:rsid w:val="00B33FCA"/>
    <w:rsid w:val="00B36A18"/>
    <w:rsid w:val="00B92109"/>
    <w:rsid w:val="00B95CC3"/>
    <w:rsid w:val="00BB05DE"/>
    <w:rsid w:val="00BF0216"/>
    <w:rsid w:val="00BF6DF3"/>
    <w:rsid w:val="00C01EF9"/>
    <w:rsid w:val="00C059F9"/>
    <w:rsid w:val="00C06C09"/>
    <w:rsid w:val="00C175A4"/>
    <w:rsid w:val="00C401D1"/>
    <w:rsid w:val="00C714FA"/>
    <w:rsid w:val="00C96A1D"/>
    <w:rsid w:val="00CA52F5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92663"/>
    <w:rsid w:val="00DB25C9"/>
    <w:rsid w:val="00DC591C"/>
    <w:rsid w:val="00DF0626"/>
    <w:rsid w:val="00DF2C91"/>
    <w:rsid w:val="00E03B63"/>
    <w:rsid w:val="00E13CCC"/>
    <w:rsid w:val="00E34197"/>
    <w:rsid w:val="00E40767"/>
    <w:rsid w:val="00E56328"/>
    <w:rsid w:val="00E62FC3"/>
    <w:rsid w:val="00E828D0"/>
    <w:rsid w:val="00EB1FFC"/>
    <w:rsid w:val="00EC2E2E"/>
    <w:rsid w:val="00EC48FE"/>
    <w:rsid w:val="00EE0D74"/>
    <w:rsid w:val="00F15634"/>
    <w:rsid w:val="00F30883"/>
    <w:rsid w:val="00F3291D"/>
    <w:rsid w:val="00F67162"/>
    <w:rsid w:val="00FA0D28"/>
    <w:rsid w:val="00FC500C"/>
    <w:rsid w:val="00FF4747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136F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DEA5-F819-4703-A2BB-AE8B3590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1466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Sochor Roman</dc:creator>
  <cp:lastModifiedBy>Vladimíra Nězgodová</cp:lastModifiedBy>
  <cp:revision>2</cp:revision>
  <cp:lastPrinted>2022-05-17T05:28:00Z</cp:lastPrinted>
  <dcterms:created xsi:type="dcterms:W3CDTF">2022-12-19T13:22:00Z</dcterms:created>
  <dcterms:modified xsi:type="dcterms:W3CDTF">2022-12-19T13:22:00Z</dcterms:modified>
</cp:coreProperties>
</file>