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E857" w14:textId="1085A8E5" w:rsidR="00CD2D06" w:rsidRPr="005B66AA" w:rsidRDefault="000230ED" w:rsidP="00CD2D06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RÁMCOVÁ DOHODA </w:t>
      </w:r>
      <w:r w:rsidR="003D4A2D"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o </w:t>
      </w:r>
      <w:r w:rsidR="00CD2D06"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dodávkách</w:t>
      </w:r>
      <w:r w:rsidR="00CD2D06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</w:p>
    <w:p w14:paraId="462BAB32" w14:textId="77777777" w:rsidR="002E081C" w:rsidRPr="005B66AA" w:rsidRDefault="002E081C" w:rsidP="002E081C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elektrických součástek a příslušenství</w:t>
      </w:r>
    </w:p>
    <w:p w14:paraId="1501DBC8" w14:textId="30560ABE" w:rsidR="000230ED" w:rsidRPr="00C14E67" w:rsidRDefault="000230ED" w:rsidP="000230ED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highlight w:val="yellow"/>
          <w:lang w:eastAsia="cs-CZ"/>
        </w:rPr>
      </w:pPr>
    </w:p>
    <w:p w14:paraId="3C8A4092" w14:textId="003B62EB" w:rsidR="00B74D40" w:rsidRPr="00B74D40" w:rsidRDefault="00C1787A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č. 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CD2D06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11</w:t>
      </w:r>
      <w:r w:rsidR="002E081C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</w:t>
      </w:r>
      <w:r w:rsidR="00B74D40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UniCredit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Bank Czech Republic and Slovakia a.s., </w:t>
      </w:r>
    </w:p>
    <w:p w14:paraId="4DE7C8E5" w14:textId="6805E25E" w:rsidR="000D59A4" w:rsidRPr="00F91FF6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CD2D06" w:rsidRP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472AD27E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</w:t>
      </w:r>
      <w:proofErr w:type="spellStart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Dudašem</w:t>
      </w:r>
      <w:proofErr w:type="spellEnd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ředitelem nákupu a logistiky</w:t>
      </w:r>
      <w:r w:rsidR="003A788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na základě pověření ze dne 3.7.2023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obch. rejstříku vedeném ………….. pod </w:t>
      </w:r>
      <w:proofErr w:type="spell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„Prodávající“)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42B1B1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ED34F29" w14:textId="77777777" w:rsidR="00381AA9" w:rsidRPr="00F3094B" w:rsidRDefault="00381AA9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A7B56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0DBC4ECC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CD2D06" w:rsidRPr="009218A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Dodávky </w:t>
      </w:r>
      <w:r w:rsidR="007C2FC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elektrických součástek a příslušenství</w:t>
      </w:r>
      <w:r w:rsidR="00CD2D0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="003A7881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</w:t>
      </w:r>
      <w:r w:rsidR="00CD2D06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A2AE6">
        <w:rPr>
          <w:rFonts w:ascii="Arial" w:eastAsia="Times New Roman" w:hAnsi="Arial" w:cs="Arial"/>
          <w:lang w:eastAsia="cs-CZ"/>
        </w:rPr>
        <w:t>4.6.2025</w:t>
      </w:r>
      <w:r w:rsidR="006A2AE6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335F710A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381AA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381AA9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za Kupujícího: </w:t>
      </w:r>
    </w:p>
    <w:p w14:paraId="2CD52808" w14:textId="7D7A6BD7" w:rsidR="00093C81" w:rsidRPr="00AB20D7" w:rsidRDefault="00093C81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AB20D7">
        <w:rPr>
          <w:rFonts w:ascii="Arial" w:eastAsia="Times New Roman" w:hAnsi="Arial" w:cs="Arial"/>
          <w:sz w:val="20"/>
          <w:szCs w:val="20"/>
          <w:lang w:eastAsia="cs-CZ"/>
        </w:rPr>
        <w:t>Ing. Libor Štěpaník,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8" w:history="1">
        <w:r w:rsidRPr="00AB20D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556 783 532</w:t>
      </w:r>
    </w:p>
    <w:bookmarkEnd w:id="1"/>
    <w:p w14:paraId="22C9E199" w14:textId="3B1C9276" w:rsidR="00A677B7" w:rsidRPr="00AB20D7" w:rsidRDefault="00A677B7" w:rsidP="00A677B7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Iva Klimčíková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9" w:history="1">
        <w:r w:rsidRPr="00144E9C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klimcikova.i@vop.cz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telefon:</w:t>
      </w:r>
      <w:r w:rsidRPr="00C53077">
        <w:t xml:space="preserve"> </w:t>
      </w:r>
      <w:r w:rsidRPr="00C53077">
        <w:rPr>
          <w:rFonts w:ascii="Arial" w:eastAsia="Times New Roman" w:hAnsi="Arial" w:cs="Arial"/>
          <w:sz w:val="20"/>
          <w:szCs w:val="20"/>
          <w:lang w:eastAsia="cs-CZ"/>
        </w:rPr>
        <w:t>556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53077">
        <w:rPr>
          <w:rFonts w:ascii="Arial" w:eastAsia="Times New Roman" w:hAnsi="Arial" w:cs="Arial"/>
          <w:sz w:val="20"/>
          <w:szCs w:val="20"/>
          <w:lang w:eastAsia="cs-CZ"/>
        </w:rPr>
        <w:t>783</w:t>
      </w:r>
      <w:r>
        <w:rPr>
          <w:rFonts w:ascii="Arial" w:eastAsia="Times New Roman" w:hAnsi="Arial" w:cs="Arial"/>
          <w:sz w:val="20"/>
          <w:szCs w:val="20"/>
          <w:lang w:eastAsia="cs-CZ"/>
        </w:rPr>
        <w:t> 538</w:t>
      </w: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E833AE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59711801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FFB6D55" w14:textId="77777777" w:rsidR="003D4A2D" w:rsidRDefault="003D4A2D" w:rsidP="003D4A2D">
      <w:pPr>
        <w:pStyle w:val="Odstavecseseznamem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9FD72F2" w14:textId="77777777" w:rsidR="00CD2D06" w:rsidRDefault="00CD2D06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1D76188" w14:textId="7777777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25BB6E8" w14:textId="77777777" w:rsidR="00C32B26" w:rsidRPr="00F3094B" w:rsidRDefault="00C32B26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3C0A8E2C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A677B7">
        <w:rPr>
          <w:rFonts w:ascii="Arial" w:hAnsi="Arial" w:cs="Arial"/>
          <w:color w:val="FF0000"/>
          <w:sz w:val="20"/>
          <w:szCs w:val="20"/>
        </w:rPr>
        <w:t>15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</w:t>
      </w:r>
      <w:r w:rsidR="0097600F" w:rsidRPr="00855F8E">
        <w:rPr>
          <w:rFonts w:ascii="Arial" w:hAnsi="Arial" w:cs="Arial"/>
          <w:color w:val="FF0000"/>
          <w:sz w:val="20"/>
          <w:szCs w:val="20"/>
        </w:rPr>
        <w:t>0</w:t>
      </w:r>
      <w:r w:rsidR="00CD2D06">
        <w:rPr>
          <w:rFonts w:ascii="Arial" w:hAnsi="Arial" w:cs="Arial"/>
          <w:color w:val="FF0000"/>
          <w:sz w:val="20"/>
          <w:szCs w:val="20"/>
        </w:rPr>
        <w:t>9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.202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5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s.p.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9E71615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3352E4" w14:textId="77777777" w:rsidR="000871EB" w:rsidRDefault="000871E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D594A05" w14:textId="77777777" w:rsidR="000871EB" w:rsidRDefault="000871E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C38223" w14:textId="77777777" w:rsidR="000871EB" w:rsidRDefault="000871E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8665D8" w14:textId="77777777" w:rsidR="000871EB" w:rsidRPr="005B66AA" w:rsidRDefault="000871E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6FFAC910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B58451" w14:textId="77777777" w:rsidR="000871EB" w:rsidRDefault="000871E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637056" w14:textId="77777777" w:rsidR="000871EB" w:rsidRDefault="000871E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06B4E0F" w14:textId="77777777" w:rsidR="000871EB" w:rsidRDefault="000871E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0"/>
    <w:sectPr w:rsidR="000D55CF" w:rsidRPr="00F309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D03CC4"/>
    <w:multiLevelType w:val="hybridMultilevel"/>
    <w:tmpl w:val="D32CE1C8"/>
    <w:lvl w:ilvl="0" w:tplc="C82A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3"/>
  </w:num>
  <w:num w:numId="13" w16cid:durableId="383529559">
    <w:abstractNumId w:val="0"/>
  </w:num>
  <w:num w:numId="14" w16cid:durableId="1906408096">
    <w:abstractNumId w:val="6"/>
  </w:num>
  <w:num w:numId="15" w16cid:durableId="31153247">
    <w:abstractNumId w:val="10"/>
  </w:num>
  <w:num w:numId="16" w16cid:durableId="87327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230ED"/>
    <w:rsid w:val="00076025"/>
    <w:rsid w:val="000825FE"/>
    <w:rsid w:val="0008349E"/>
    <w:rsid w:val="0008664E"/>
    <w:rsid w:val="000871EB"/>
    <w:rsid w:val="00093C81"/>
    <w:rsid w:val="000B1B64"/>
    <w:rsid w:val="000B46FE"/>
    <w:rsid w:val="000C3D8C"/>
    <w:rsid w:val="000D55CF"/>
    <w:rsid w:val="000D59A4"/>
    <w:rsid w:val="000D71A5"/>
    <w:rsid w:val="000F29D0"/>
    <w:rsid w:val="0011550D"/>
    <w:rsid w:val="00122FA8"/>
    <w:rsid w:val="00142DD1"/>
    <w:rsid w:val="001457E7"/>
    <w:rsid w:val="001607B9"/>
    <w:rsid w:val="001615EF"/>
    <w:rsid w:val="00196AED"/>
    <w:rsid w:val="001B34F2"/>
    <w:rsid w:val="001C7E20"/>
    <w:rsid w:val="001E5A04"/>
    <w:rsid w:val="001F3997"/>
    <w:rsid w:val="00211E24"/>
    <w:rsid w:val="0022626B"/>
    <w:rsid w:val="0023073B"/>
    <w:rsid w:val="00231B44"/>
    <w:rsid w:val="0023601E"/>
    <w:rsid w:val="00252247"/>
    <w:rsid w:val="002544E5"/>
    <w:rsid w:val="00254D37"/>
    <w:rsid w:val="0025701E"/>
    <w:rsid w:val="0025797B"/>
    <w:rsid w:val="00277D8A"/>
    <w:rsid w:val="002864CA"/>
    <w:rsid w:val="002C71C1"/>
    <w:rsid w:val="002D2511"/>
    <w:rsid w:val="002D2D70"/>
    <w:rsid w:val="002E081C"/>
    <w:rsid w:val="00356947"/>
    <w:rsid w:val="0036681E"/>
    <w:rsid w:val="00381AA9"/>
    <w:rsid w:val="003A7881"/>
    <w:rsid w:val="003C6DAC"/>
    <w:rsid w:val="003D4A2D"/>
    <w:rsid w:val="00406E80"/>
    <w:rsid w:val="0040762B"/>
    <w:rsid w:val="004303D9"/>
    <w:rsid w:val="00456129"/>
    <w:rsid w:val="00456C8B"/>
    <w:rsid w:val="00464E41"/>
    <w:rsid w:val="004715BE"/>
    <w:rsid w:val="00475FBD"/>
    <w:rsid w:val="004A1BFE"/>
    <w:rsid w:val="004F5371"/>
    <w:rsid w:val="00504D81"/>
    <w:rsid w:val="00522112"/>
    <w:rsid w:val="005606F7"/>
    <w:rsid w:val="005621BB"/>
    <w:rsid w:val="005912F5"/>
    <w:rsid w:val="00596127"/>
    <w:rsid w:val="005C33FB"/>
    <w:rsid w:val="005E7CD7"/>
    <w:rsid w:val="005F5D83"/>
    <w:rsid w:val="005F7816"/>
    <w:rsid w:val="00617A78"/>
    <w:rsid w:val="00672801"/>
    <w:rsid w:val="00684C30"/>
    <w:rsid w:val="00685324"/>
    <w:rsid w:val="006A2AE6"/>
    <w:rsid w:val="006A6E03"/>
    <w:rsid w:val="007031A8"/>
    <w:rsid w:val="007358AE"/>
    <w:rsid w:val="00736A46"/>
    <w:rsid w:val="0074059D"/>
    <w:rsid w:val="00743394"/>
    <w:rsid w:val="007579F9"/>
    <w:rsid w:val="007672A3"/>
    <w:rsid w:val="007C2FCE"/>
    <w:rsid w:val="007F41A8"/>
    <w:rsid w:val="00827D5E"/>
    <w:rsid w:val="00832BE3"/>
    <w:rsid w:val="00853797"/>
    <w:rsid w:val="008701BF"/>
    <w:rsid w:val="00871AEC"/>
    <w:rsid w:val="00881717"/>
    <w:rsid w:val="008914BA"/>
    <w:rsid w:val="008A6D0B"/>
    <w:rsid w:val="008D5CA5"/>
    <w:rsid w:val="008F1140"/>
    <w:rsid w:val="0092186E"/>
    <w:rsid w:val="0092654B"/>
    <w:rsid w:val="00926F68"/>
    <w:rsid w:val="0097600F"/>
    <w:rsid w:val="009B3C08"/>
    <w:rsid w:val="009D2208"/>
    <w:rsid w:val="009D5115"/>
    <w:rsid w:val="009E2F77"/>
    <w:rsid w:val="009F2E8C"/>
    <w:rsid w:val="00A12812"/>
    <w:rsid w:val="00A23741"/>
    <w:rsid w:val="00A55AB1"/>
    <w:rsid w:val="00A677B7"/>
    <w:rsid w:val="00AB20D7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AF62F2"/>
    <w:rsid w:val="00B074DE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1787A"/>
    <w:rsid w:val="00C32B26"/>
    <w:rsid w:val="00C413E7"/>
    <w:rsid w:val="00C414C2"/>
    <w:rsid w:val="00C72F64"/>
    <w:rsid w:val="00CC73BD"/>
    <w:rsid w:val="00CD2D06"/>
    <w:rsid w:val="00CF0127"/>
    <w:rsid w:val="00D10E94"/>
    <w:rsid w:val="00D213B3"/>
    <w:rsid w:val="00D23EFF"/>
    <w:rsid w:val="00D30F37"/>
    <w:rsid w:val="00D5058E"/>
    <w:rsid w:val="00D53301"/>
    <w:rsid w:val="00D64C16"/>
    <w:rsid w:val="00DB3BE9"/>
    <w:rsid w:val="00DB7ABD"/>
    <w:rsid w:val="00DC34AC"/>
    <w:rsid w:val="00DD11B1"/>
    <w:rsid w:val="00DF0FAC"/>
    <w:rsid w:val="00E97772"/>
    <w:rsid w:val="00EC13BE"/>
    <w:rsid w:val="00ED69E8"/>
    <w:rsid w:val="00EF07E4"/>
    <w:rsid w:val="00F3022C"/>
    <w:rsid w:val="00F3094B"/>
    <w:rsid w:val="00F37328"/>
    <w:rsid w:val="00F42DD1"/>
    <w:rsid w:val="00F544F6"/>
    <w:rsid w:val="00F61B8E"/>
    <w:rsid w:val="00F61DE3"/>
    <w:rsid w:val="00F91FF6"/>
    <w:rsid w:val="00F93740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imcikova.i@v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5</cp:revision>
  <cp:lastPrinted>2024-11-21T08:09:00Z</cp:lastPrinted>
  <dcterms:created xsi:type="dcterms:W3CDTF">2025-05-26T12:01:00Z</dcterms:created>
  <dcterms:modified xsi:type="dcterms:W3CDTF">2025-06-05T07:57:00Z</dcterms:modified>
</cp:coreProperties>
</file>