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3E73" w14:textId="69B0AC81" w:rsidR="00093C81" w:rsidRPr="00E61AC7" w:rsidRDefault="00093C81" w:rsidP="00093C81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highlight w:val="yellow"/>
          <w:lang w:eastAsia="cs-CZ"/>
        </w:rPr>
      </w:pPr>
      <w:r w:rsidRPr="00E61AC7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997BCA" w:rsidRPr="00F3094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o dodávkách </w:t>
      </w:r>
      <w:r w:rsidR="00254C07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ochranných pracovních </w:t>
      </w:r>
      <w:r w:rsidR="00FF5EC7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rukavic</w:t>
      </w:r>
    </w:p>
    <w:p w14:paraId="3C8A4092" w14:textId="72BF15C0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č. </w:t>
      </w:r>
      <w:r w:rsidR="00997BCA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FF5EC7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129</w:t>
      </w:r>
      <w:r w:rsidR="00B74D40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/2</w:t>
      </w:r>
      <w:r w:rsidR="00254C07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s.p</w:t>
      </w:r>
      <w:proofErr w:type="spellEnd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a.s., </w:t>
      </w:r>
    </w:p>
    <w:p w14:paraId="4DE7C8E5" w14:textId="4FAC6B41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číslo účtu: </w:t>
      </w:r>
      <w:bookmarkStart w:id="0" w:name="_Hlk184720715"/>
      <w:r w:rsidR="004D2EF4" w:rsidRPr="004D2EF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</w:t>
      </w:r>
      <w:bookmarkEnd w:id="0"/>
      <w:r w:rsidR="00F93740"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77777777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ředitelem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 základě pověření ze dne 3.7.2023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obch. rejstříku vedeném ………….. pod </w:t>
      </w:r>
      <w:proofErr w:type="spell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</w:t>
      </w:r>
      <w:r w:rsidRPr="003D6BE0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Prodávající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116B414" w14:textId="77777777" w:rsidR="00060165" w:rsidRPr="00F3094B" w:rsidRDefault="00060165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834B261" w14:textId="77777777" w:rsidR="00F733E8" w:rsidRPr="00F3094B" w:rsidRDefault="00F733E8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0E734479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0B46FE">
        <w:rPr>
          <w:rFonts w:ascii="Arial" w:eastAsia="Times New Roman" w:hAnsi="Arial" w:cs="Arial"/>
          <w:sz w:val="20"/>
          <w:szCs w:val="20"/>
          <w:lang w:eastAsia="cs-CZ"/>
        </w:rPr>
        <w:t>„</w:t>
      </w:r>
      <w:r w:rsidR="00254C07" w:rsidRPr="00416A9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Dodávky ochranných pracovních </w:t>
      </w:r>
      <w:r w:rsidR="00FF5EC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rukavic</w:t>
      </w:r>
      <w:r w:rsidR="00F61DE3" w:rsidRPr="001C7E2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0B46F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F59AC">
        <w:rPr>
          <w:rFonts w:ascii="Arial" w:eastAsia="Times New Roman" w:hAnsi="Arial" w:cs="Arial"/>
          <w:lang w:eastAsia="cs-CZ"/>
        </w:rPr>
        <w:t>08.08.2025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1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0FB49C90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0C067E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0C067E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za Kupujícího: </w:t>
      </w:r>
    </w:p>
    <w:p w14:paraId="2CD52808" w14:textId="3FDD329A" w:rsidR="00093C81" w:rsidRPr="00093C81" w:rsidRDefault="00093C81" w:rsidP="003D6BE0">
      <w:pPr>
        <w:pStyle w:val="Odstavecseseznamem"/>
        <w:numPr>
          <w:ilvl w:val="0"/>
          <w:numId w:val="14"/>
        </w:numPr>
        <w:tabs>
          <w:tab w:val="num" w:pos="2340"/>
        </w:tabs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2" w:name="_Hlk63767357"/>
      <w:r w:rsidRPr="00093C81">
        <w:rPr>
          <w:rFonts w:ascii="Arial" w:eastAsia="Times New Roman" w:hAnsi="Arial" w:cs="Arial"/>
          <w:sz w:val="20"/>
          <w:szCs w:val="20"/>
          <w:lang w:eastAsia="cs-CZ"/>
        </w:rPr>
        <w:t xml:space="preserve">Ing. Libor Štěpaník, </w:t>
      </w:r>
      <w:hyperlink r:id="rId8" w:history="1">
        <w:r w:rsidRPr="00093C81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093C81">
        <w:rPr>
          <w:rFonts w:ascii="Arial" w:eastAsia="Times New Roman" w:hAnsi="Arial" w:cs="Arial"/>
          <w:sz w:val="20"/>
          <w:szCs w:val="20"/>
          <w:lang w:eastAsia="cs-CZ"/>
        </w:rPr>
        <w:t>, 556 783 532</w:t>
      </w:r>
    </w:p>
    <w:bookmarkEnd w:id="2"/>
    <w:p w14:paraId="086D938D" w14:textId="0C748906" w:rsidR="00093C81" w:rsidRDefault="00254C07" w:rsidP="003D6BE0">
      <w:pPr>
        <w:pStyle w:val="Odstavecseseznamem"/>
        <w:numPr>
          <w:ilvl w:val="0"/>
          <w:numId w:val="14"/>
        </w:numPr>
        <w:tabs>
          <w:tab w:val="num" w:pos="2340"/>
        </w:tabs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Šárka Soukupová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soukupova.s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@vop.cz, 556 783</w:t>
      </w:r>
      <w:r>
        <w:rPr>
          <w:rFonts w:ascii="Arial" w:eastAsia="Times New Roman" w:hAnsi="Arial" w:cs="Arial"/>
          <w:sz w:val="20"/>
          <w:szCs w:val="20"/>
          <w:lang w:eastAsia="cs-CZ"/>
        </w:rPr>
        <w:t> 245</w:t>
      </w:r>
    </w:p>
    <w:p w14:paraId="05981BF0" w14:textId="77777777" w:rsidR="00254C07" w:rsidRPr="00093C81" w:rsidRDefault="00254C07" w:rsidP="00254C07">
      <w:pPr>
        <w:pStyle w:val="Odstavecseseznamem"/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7C7E5E6D" w14:textId="77777777" w:rsidR="00F733E8" w:rsidRPr="00F3094B" w:rsidRDefault="00F733E8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41C8D424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514D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3B4C6861" w14:textId="6A851B6D" w:rsidR="00997BCA" w:rsidRDefault="00997BCA" w:rsidP="00997BC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atest ke Zboží</w:t>
      </w:r>
      <w:r w:rsidR="00514D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D4D1C50" w14:textId="77777777" w:rsidR="00997BCA" w:rsidRPr="0036681E" w:rsidRDefault="00997BCA" w:rsidP="00997BC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inspekční certifikát "3.1“ dle ČSN EN 10204</w:t>
      </w: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49870F4" w14:textId="77777777" w:rsidR="00997BCA" w:rsidRDefault="00997BCA" w:rsidP="00C01519">
      <w:pPr>
        <w:pStyle w:val="Odstavecseseznamem"/>
        <w:spacing w:after="0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78C7DEFB" w14:textId="77777777" w:rsidR="00F733E8" w:rsidRPr="00F3094B" w:rsidRDefault="00F733E8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35BBE955" w14:textId="77777777" w:rsidR="00254C07" w:rsidRPr="00C01519" w:rsidRDefault="00254C07" w:rsidP="00254C07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F3386D" w14:textId="492B3030" w:rsidR="00254C07" w:rsidRPr="00C01519" w:rsidRDefault="00254C07" w:rsidP="00254C07">
      <w:pPr>
        <w:numPr>
          <w:ilvl w:val="0"/>
          <w:numId w:val="9"/>
        </w:numPr>
        <w:tabs>
          <w:tab w:val="clear" w:pos="216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Vzhledem k tomu, že tato smlouva je uzavřena na základě vyhrazené veřejné zakázky (ve smyslu </w:t>
      </w:r>
      <w:proofErr w:type="spellStart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ust</w:t>
      </w:r>
      <w:proofErr w:type="spellEnd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. § 38 zákona č. 134/2016 Sb., o zadávání veřejných zakázek, ve znění pozdějších předpisů), prohlašuje Prodávající, že ke dni uzavření této dohody je v účinnosti jeho dohoda o uznání zaměstnavatele, kterou uzavřel s Úřadem práce ve smyslu </w:t>
      </w:r>
      <w:proofErr w:type="spellStart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ust</w:t>
      </w:r>
      <w:proofErr w:type="spellEnd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. </w:t>
      </w:r>
      <w:bookmarkStart w:id="3" w:name="_Hlk116033353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§ 78 zákona č. 435/2004 Sb., o zaměstnanosti, ve znění pozdějších předpisů (dále jen </w:t>
      </w:r>
      <w:r w:rsidRPr="00C01519">
        <w:rPr>
          <w:rFonts w:ascii="Arial" w:eastAsia="Times New Roman" w:hAnsi="Arial" w:cs="Arial"/>
          <w:b/>
          <w:bCs/>
          <w:i/>
          <w:snapToGrid w:val="0"/>
          <w:sz w:val="20"/>
          <w:szCs w:val="20"/>
          <w:lang w:eastAsia="cs-CZ"/>
        </w:rPr>
        <w:t>„Zákon o zaměstnanosti“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)</w:t>
      </w:r>
      <w:r w:rsidR="00060165"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 nebo je zapsán v registru integračních sociálních podniků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. </w:t>
      </w:r>
      <w:bookmarkEnd w:id="3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Prodávající se proto dále zavazuje:</w:t>
      </w:r>
    </w:p>
    <w:p w14:paraId="01C85936" w14:textId="77777777" w:rsidR="00254C07" w:rsidRPr="00C01519" w:rsidRDefault="00254C07" w:rsidP="00254C07">
      <w:pPr>
        <w:spacing w:after="0" w:line="240" w:lineRule="auto"/>
        <w:ind w:left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7E131526" w14:textId="042514AF" w:rsidR="00254C07" w:rsidRPr="00C01519" w:rsidRDefault="00254C07" w:rsidP="00254C0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plnit po celou dobu účinnosti této smlouvy podmínky uvedené dohody s Úřadem práce i veškeré další požadavky a podmínky</w:t>
      </w:r>
      <w:r w:rsidR="00060165"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,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 </w:t>
      </w:r>
      <w:r w:rsidR="00060165"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nebo být po celou dobu účinnosti smlouvy zapsán v registru integračních sociálních podniků 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tak, aby Zboží jím dodávané Kupujícímu na základě této dohody mohlo být uznáváno ze strany orgánů veřejné správy za tzv. náhradní plnění Kupujícího (jakožto zaměstnavatele) ve smyslu </w:t>
      </w:r>
      <w:proofErr w:type="spellStart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ust</w:t>
      </w:r>
      <w:proofErr w:type="spellEnd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.  § 81 odst. 2 písm. b) Zákona o zaměstnanosti, a</w:t>
      </w:r>
    </w:p>
    <w:p w14:paraId="3D1F5D46" w14:textId="77777777" w:rsidR="00254C07" w:rsidRPr="00C01519" w:rsidRDefault="00254C07" w:rsidP="00254C07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774A2AC1" w14:textId="77777777" w:rsidR="00254C07" w:rsidRPr="00C01519" w:rsidRDefault="00254C07" w:rsidP="00254C0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poskytovat Kupujícímu veškerou součinnost nezbytnou k vykázání Zboží koupeného na základě této dohody jako tzv. náhradního plnění.</w:t>
      </w:r>
    </w:p>
    <w:p w14:paraId="735736A1" w14:textId="77777777" w:rsidR="00254C07" w:rsidRPr="00C01519" w:rsidRDefault="00254C07" w:rsidP="00254C07">
      <w:pPr>
        <w:spacing w:after="0" w:line="240" w:lineRule="auto"/>
        <w:ind w:left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73D7BCE4" w14:textId="0E25FB73" w:rsidR="00254C07" w:rsidRPr="00C01519" w:rsidRDefault="00254C07" w:rsidP="00254C07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18"/>
          <w:szCs w:val="18"/>
          <w:lang w:eastAsia="cs-CZ"/>
        </w:rPr>
      </w:pP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Pro vyloučení pochybností se ujednává, že v případě porušení povinností Prodávajícího uvedených v odst. 4 tohoto článku nahradí Prodávající Kupujícímu veškeré náklady a škody tím způsobené. Za takovou škodu bude v případě neposkytnutí tzv. náhradního plnění v plném rozsahu dle této dohody považován zejména případný odvod Kupujícího do státního rozpočtu </w:t>
      </w:r>
      <w:r w:rsidR="00712088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ve </w:t>
      </w:r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smyslu </w:t>
      </w:r>
      <w:proofErr w:type="spellStart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ust</w:t>
      </w:r>
      <w:proofErr w:type="spellEnd"/>
      <w:r w:rsidRPr="00C01519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.  § 81 odst. 2 písm. c) Zákona o zaměstnanosti.</w:t>
      </w:r>
    </w:p>
    <w:p w14:paraId="6C23D554" w14:textId="77777777" w:rsidR="00254C07" w:rsidRDefault="00254C07" w:rsidP="00254C07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D5808B" w14:textId="77777777" w:rsidR="00EF5762" w:rsidRDefault="00EF5762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1315706A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</w:t>
      </w:r>
      <w:r w:rsidR="00C01519">
        <w:rPr>
          <w:rFonts w:ascii="Arial" w:hAnsi="Arial" w:cs="Arial"/>
          <w:sz w:val="20"/>
          <w:szCs w:val="20"/>
        </w:rPr>
        <w:t>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02F6BD71" w14:textId="77777777" w:rsidR="00F733E8" w:rsidRDefault="00F733E8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73D789BB" w14:textId="77777777" w:rsidR="00F733E8" w:rsidRDefault="00F733E8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</w:t>
      </w:r>
      <w:proofErr w:type="spellStart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1EE6F7FD" w:rsidR="000B1B64" w:rsidRPr="005B66AA" w:rsidRDefault="000B1B64" w:rsidP="003D6BE0">
      <w:pPr>
        <w:spacing w:after="0" w:line="240" w:lineRule="auto"/>
        <w:ind w:left="5103" w:hanging="510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1D7843" w14:textId="77777777" w:rsidR="00F733E8" w:rsidRDefault="00F733E8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30341DD" w14:textId="77777777" w:rsidR="00F733E8" w:rsidRPr="005B66AA" w:rsidRDefault="00F733E8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1DC456D1" w:rsidR="000B1B64" w:rsidRPr="00A264A7" w:rsidRDefault="000B1B64" w:rsidP="003D6BE0">
      <w:pPr>
        <w:spacing w:after="0" w:line="240" w:lineRule="auto"/>
        <w:ind w:left="5103" w:hanging="510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455D94F" w14:textId="77777777" w:rsidR="00F733E8" w:rsidRDefault="00F733E8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E5CBF4B" w14:textId="77777777" w:rsidR="00F733E8" w:rsidRDefault="00F733E8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1"/>
    <w:sectPr w:rsidR="000D55CF" w:rsidRPr="00F3094B" w:rsidSect="00C01519">
      <w:footerReference w:type="default" r:id="rId9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2"/>
  </w:num>
  <w:num w:numId="13" w16cid:durableId="383529559">
    <w:abstractNumId w:val="0"/>
  </w:num>
  <w:num w:numId="14" w16cid:durableId="1906408096">
    <w:abstractNumId w:val="6"/>
  </w:num>
  <w:num w:numId="15" w16cid:durableId="210071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04751"/>
    <w:rsid w:val="00060165"/>
    <w:rsid w:val="00076025"/>
    <w:rsid w:val="0008349E"/>
    <w:rsid w:val="0008664E"/>
    <w:rsid w:val="00093C81"/>
    <w:rsid w:val="000B1B64"/>
    <w:rsid w:val="000B46FE"/>
    <w:rsid w:val="000C067E"/>
    <w:rsid w:val="000C3D8C"/>
    <w:rsid w:val="000D55CF"/>
    <w:rsid w:val="000D59A4"/>
    <w:rsid w:val="000D71A5"/>
    <w:rsid w:val="000F29D0"/>
    <w:rsid w:val="000F54C0"/>
    <w:rsid w:val="000F59AC"/>
    <w:rsid w:val="0011550D"/>
    <w:rsid w:val="00122FA8"/>
    <w:rsid w:val="001457E7"/>
    <w:rsid w:val="00196AED"/>
    <w:rsid w:val="001C7E20"/>
    <w:rsid w:val="001E5A04"/>
    <w:rsid w:val="001F0656"/>
    <w:rsid w:val="001F3997"/>
    <w:rsid w:val="0022626B"/>
    <w:rsid w:val="0023073B"/>
    <w:rsid w:val="00231B44"/>
    <w:rsid w:val="00252247"/>
    <w:rsid w:val="002544E5"/>
    <w:rsid w:val="00254C07"/>
    <w:rsid w:val="00254D37"/>
    <w:rsid w:val="0025701E"/>
    <w:rsid w:val="0025797B"/>
    <w:rsid w:val="00277D8A"/>
    <w:rsid w:val="0029337A"/>
    <w:rsid w:val="002C71C1"/>
    <w:rsid w:val="00356947"/>
    <w:rsid w:val="0036681E"/>
    <w:rsid w:val="003C6DAC"/>
    <w:rsid w:val="003D6BE0"/>
    <w:rsid w:val="003E5E58"/>
    <w:rsid w:val="00406E80"/>
    <w:rsid w:val="004303D9"/>
    <w:rsid w:val="00456129"/>
    <w:rsid w:val="00456C8B"/>
    <w:rsid w:val="0045787E"/>
    <w:rsid w:val="00464E41"/>
    <w:rsid w:val="004715BE"/>
    <w:rsid w:val="00475FBD"/>
    <w:rsid w:val="004A1BFE"/>
    <w:rsid w:val="004D2EF4"/>
    <w:rsid w:val="004F5371"/>
    <w:rsid w:val="00504D81"/>
    <w:rsid w:val="00514D90"/>
    <w:rsid w:val="00522112"/>
    <w:rsid w:val="005606F7"/>
    <w:rsid w:val="005B1268"/>
    <w:rsid w:val="005C33FB"/>
    <w:rsid w:val="005E7CD7"/>
    <w:rsid w:val="005F7816"/>
    <w:rsid w:val="00615469"/>
    <w:rsid w:val="00617A78"/>
    <w:rsid w:val="006320F3"/>
    <w:rsid w:val="00672801"/>
    <w:rsid w:val="00685324"/>
    <w:rsid w:val="007031A8"/>
    <w:rsid w:val="00712088"/>
    <w:rsid w:val="007358AE"/>
    <w:rsid w:val="00736A46"/>
    <w:rsid w:val="0074059D"/>
    <w:rsid w:val="00743394"/>
    <w:rsid w:val="007579F9"/>
    <w:rsid w:val="0078537C"/>
    <w:rsid w:val="007F41A8"/>
    <w:rsid w:val="00827D5E"/>
    <w:rsid w:val="00853797"/>
    <w:rsid w:val="008701BF"/>
    <w:rsid w:val="00871AEC"/>
    <w:rsid w:val="00881717"/>
    <w:rsid w:val="008914BA"/>
    <w:rsid w:val="008A6D0B"/>
    <w:rsid w:val="008D5CA5"/>
    <w:rsid w:val="00904AFA"/>
    <w:rsid w:val="0092186E"/>
    <w:rsid w:val="0092654B"/>
    <w:rsid w:val="00994E28"/>
    <w:rsid w:val="00997BCA"/>
    <w:rsid w:val="009D2208"/>
    <w:rsid w:val="009D5115"/>
    <w:rsid w:val="009E2F77"/>
    <w:rsid w:val="00A12812"/>
    <w:rsid w:val="00A23741"/>
    <w:rsid w:val="00A55AB1"/>
    <w:rsid w:val="00A61082"/>
    <w:rsid w:val="00AB773F"/>
    <w:rsid w:val="00AD46EF"/>
    <w:rsid w:val="00AD49C3"/>
    <w:rsid w:val="00AD4FD4"/>
    <w:rsid w:val="00AD512D"/>
    <w:rsid w:val="00AD78EF"/>
    <w:rsid w:val="00AE159A"/>
    <w:rsid w:val="00AE28DE"/>
    <w:rsid w:val="00AE4507"/>
    <w:rsid w:val="00AF134E"/>
    <w:rsid w:val="00AF46D0"/>
    <w:rsid w:val="00B073B4"/>
    <w:rsid w:val="00B074DE"/>
    <w:rsid w:val="00B10B7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01519"/>
    <w:rsid w:val="00C1787A"/>
    <w:rsid w:val="00C32B26"/>
    <w:rsid w:val="00C413E7"/>
    <w:rsid w:val="00C414C2"/>
    <w:rsid w:val="00C72F64"/>
    <w:rsid w:val="00CB3C9F"/>
    <w:rsid w:val="00CF0127"/>
    <w:rsid w:val="00D10E94"/>
    <w:rsid w:val="00D213B3"/>
    <w:rsid w:val="00D23EFF"/>
    <w:rsid w:val="00D30F37"/>
    <w:rsid w:val="00D53301"/>
    <w:rsid w:val="00D56765"/>
    <w:rsid w:val="00D64C16"/>
    <w:rsid w:val="00DB3BE9"/>
    <w:rsid w:val="00DB7ABD"/>
    <w:rsid w:val="00DC34AC"/>
    <w:rsid w:val="00DD4C5D"/>
    <w:rsid w:val="00DF0FAC"/>
    <w:rsid w:val="00DF0FDA"/>
    <w:rsid w:val="00E97772"/>
    <w:rsid w:val="00EC13BE"/>
    <w:rsid w:val="00EC14E0"/>
    <w:rsid w:val="00ED69E8"/>
    <w:rsid w:val="00EF5762"/>
    <w:rsid w:val="00F3094B"/>
    <w:rsid w:val="00F37328"/>
    <w:rsid w:val="00F42DD1"/>
    <w:rsid w:val="00F544F6"/>
    <w:rsid w:val="00F61DE3"/>
    <w:rsid w:val="00F733E8"/>
    <w:rsid w:val="00F74044"/>
    <w:rsid w:val="00F93740"/>
    <w:rsid w:val="00FA6B6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1400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7</cp:revision>
  <cp:lastPrinted>2021-08-06T10:16:00Z</cp:lastPrinted>
  <dcterms:created xsi:type="dcterms:W3CDTF">2025-03-06T08:32:00Z</dcterms:created>
  <dcterms:modified xsi:type="dcterms:W3CDTF">2025-08-08T07:56:00Z</dcterms:modified>
</cp:coreProperties>
</file>