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719D772F" w14:textId="77777777" w:rsidR="00AA2099" w:rsidRPr="00DD5964" w:rsidRDefault="00AA2099" w:rsidP="00AA2099">
                  <w:pPr>
                    <w:jc w:val="center"/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</w:pPr>
                  <w:r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  <w:t>ČESTNÉ PROHLÁŠENÍ</w:t>
                  </w:r>
                </w:p>
                <w:p w14:paraId="1B8493C3" w14:textId="40F2320C" w:rsidR="005969EB" w:rsidRPr="00D655E0" w:rsidRDefault="00AA2099" w:rsidP="00AA2099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4B3BAB"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  <w:t>o formě vlastnictví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0A3F467A" w14:textId="77777777" w:rsidR="009C321B" w:rsidRPr="00A81E4A" w:rsidRDefault="009C321B" w:rsidP="009C321B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81E4A">
              <w:rPr>
                <w:rFonts w:ascii="Arial" w:hAnsi="Arial"/>
                <w:b/>
                <w:bCs/>
                <w:sz w:val="22"/>
                <w:szCs w:val="22"/>
              </w:rPr>
              <w:t>OVZ/023/2/2022 Přepravní služby – DNS:</w:t>
            </w:r>
          </w:p>
          <w:p w14:paraId="5520F13E" w14:textId="387F6BAC" w:rsidR="00D655E0" w:rsidRPr="008444D7" w:rsidRDefault="009C321B" w:rsidP="009C321B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A81E4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A81E4A">
              <w:rPr>
                <w:rFonts w:ascii="Arial" w:hAnsi="Arial"/>
                <w:b/>
                <w:bCs/>
                <w:sz w:val="22"/>
                <w:szCs w:val="22"/>
              </w:rPr>
              <w:t>. dílčí výzva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727ADD55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>variant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a </w:t>
            </w:r>
            <w:r w:rsidRPr="00990518">
              <w:rPr>
                <w:rFonts w:ascii="Arial" w:hAnsi="Arial"/>
                <w:sz w:val="22"/>
                <w:szCs w:val="22"/>
              </w:rPr>
              <w:t>nehodící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se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2D8676B9" w:rsidR="00B11AED" w:rsidRDefault="009C321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02480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někteří akcionáři dodavatele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uvádí dodavatel jmenný seznam těchto vlastníků včetně zdroje, z něhož údaje o velikosti podílů vycházejí: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537"/>
              <w:gridCol w:w="4537"/>
            </w:tblGrid>
            <w:tr w:rsidR="00D02480" w14:paraId="58268F51" w14:textId="1BD56E65" w:rsidTr="00D02480">
              <w:trPr>
                <w:trHeight w:val="589"/>
              </w:trPr>
              <w:tc>
                <w:tcPr>
                  <w:tcW w:w="4537" w:type="dxa"/>
                  <w:vAlign w:val="center"/>
                </w:tcPr>
                <w:p w14:paraId="5D2779C6" w14:textId="617568D3" w:rsidR="00D02480" w:rsidRDefault="00D02480" w:rsidP="009C321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 / název právnické osoby</w:t>
                  </w:r>
                </w:p>
              </w:tc>
              <w:tc>
                <w:tcPr>
                  <w:tcW w:w="4537" w:type="dxa"/>
                  <w:vAlign w:val="center"/>
                </w:tcPr>
                <w:p w14:paraId="65F8D7A1" w14:textId="026FAB9C" w:rsidR="00D02480" w:rsidRDefault="00D02480" w:rsidP="009C321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Zdroj údajů:</w:t>
                  </w:r>
                </w:p>
              </w:tc>
            </w:tr>
            <w:tr w:rsidR="00D02480" w14:paraId="3DDD4230" w14:textId="16752B82" w:rsidTr="00D02480">
              <w:trPr>
                <w:trHeight w:val="519"/>
              </w:trPr>
              <w:tc>
                <w:tcPr>
                  <w:tcW w:w="4537" w:type="dxa"/>
                  <w:vAlign w:val="center"/>
                </w:tcPr>
                <w:p w14:paraId="5A54F1B0" w14:textId="6B695166" w:rsidR="00D02480" w:rsidRDefault="00D02480" w:rsidP="009C321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</w:p>
              </w:tc>
              <w:tc>
                <w:tcPr>
                  <w:tcW w:w="4537" w:type="dxa"/>
                </w:tcPr>
                <w:p w14:paraId="2812E2E9" w14:textId="77777777" w:rsidR="00D02480" w:rsidRDefault="00D02480" w:rsidP="009C321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9ED9619" w14:textId="57EA9189" w:rsidR="00857753" w:rsidRPr="00D02480" w:rsidRDefault="00D02480" w:rsidP="00D02480">
            <w:pPr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r w:rsidRPr="00D02480">
              <w:rPr>
                <w:rFonts w:ascii="Arial" w:hAnsi="Arial"/>
                <w:bCs/>
                <w:i/>
                <w:iCs/>
                <w:sz w:val="20"/>
                <w:szCs w:val="20"/>
              </w:rPr>
              <w:t>V případě více vlastníků, lze přidat další řádky.</w:t>
            </w:r>
          </w:p>
          <w:p w14:paraId="51B1BC80" w14:textId="77777777" w:rsidR="00D02480" w:rsidRDefault="00D02480" w:rsidP="00D02480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0FCEF3F" w14:textId="77777777" w:rsidR="00AA2099" w:rsidRDefault="00AA2099" w:rsidP="0074704C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73104F98" w14:textId="0892C0D9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137A9EE" w:rsidR="007656DF" w:rsidRPr="00990518" w:rsidRDefault="009C321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žádný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z akcionářů dodavatele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činí dodavatel následující čestné prohlášení: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0B6B7DA3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>Já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>, níže podepsaný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60C3CD99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 název dodavatele</w:t>
            </w: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37D02350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společnosti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9B9B33" w14:textId="77777777" w:rsidR="00B61C1A" w:rsidRPr="00D655E0" w:rsidRDefault="00B61C1A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38ACDB5F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elektronick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ý podpis oprávněné osoby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0A71EA11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691D27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</w:t>
    </w:r>
    <w:r w:rsidR="009C321B">
      <w:rPr>
        <w:rFonts w:ascii="Arial" w:hAnsi="Arial"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0701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E6E23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4367A"/>
    <w:rsid w:val="00676589"/>
    <w:rsid w:val="00681A78"/>
    <w:rsid w:val="00691D27"/>
    <w:rsid w:val="0074704C"/>
    <w:rsid w:val="007656DF"/>
    <w:rsid w:val="0077271F"/>
    <w:rsid w:val="007B6B6A"/>
    <w:rsid w:val="007D1132"/>
    <w:rsid w:val="007E164F"/>
    <w:rsid w:val="008444D7"/>
    <w:rsid w:val="00845755"/>
    <w:rsid w:val="00857753"/>
    <w:rsid w:val="00885DD2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C321B"/>
    <w:rsid w:val="009D1AA3"/>
    <w:rsid w:val="009D57C4"/>
    <w:rsid w:val="009F5252"/>
    <w:rsid w:val="00A43B2D"/>
    <w:rsid w:val="00A63B41"/>
    <w:rsid w:val="00A86813"/>
    <w:rsid w:val="00AA2099"/>
    <w:rsid w:val="00AE3557"/>
    <w:rsid w:val="00AF19B8"/>
    <w:rsid w:val="00B11AED"/>
    <w:rsid w:val="00B2455E"/>
    <w:rsid w:val="00B61C1A"/>
    <w:rsid w:val="00BF79A1"/>
    <w:rsid w:val="00C02D83"/>
    <w:rsid w:val="00C41A30"/>
    <w:rsid w:val="00C441B8"/>
    <w:rsid w:val="00C47792"/>
    <w:rsid w:val="00C87C3E"/>
    <w:rsid w:val="00CC1424"/>
    <w:rsid w:val="00CE29C0"/>
    <w:rsid w:val="00D02480"/>
    <w:rsid w:val="00D164AA"/>
    <w:rsid w:val="00D655E0"/>
    <w:rsid w:val="00D76760"/>
    <w:rsid w:val="00D903E4"/>
    <w:rsid w:val="00DA6507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28E6"/>
    <w:rsid w:val="00E9481C"/>
    <w:rsid w:val="00ED1337"/>
    <w:rsid w:val="00EE6E36"/>
    <w:rsid w:val="00EF3D05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2</cp:revision>
  <dcterms:created xsi:type="dcterms:W3CDTF">2026-02-16T12:10:00Z</dcterms:created>
  <dcterms:modified xsi:type="dcterms:W3CDTF">2026-02-16T12:10:00Z</dcterms:modified>
</cp:coreProperties>
</file>