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EC7B" w14:textId="13D78A29" w:rsidR="00325E74" w:rsidRDefault="00034AC2" w:rsidP="00AA6C45">
      <w:pPr>
        <w:pStyle w:val="Nadpis1"/>
        <w:rPr>
          <w:shd w:val="clear" w:color="auto" w:fill="FFFFFF"/>
        </w:rPr>
      </w:pPr>
      <w:bookmarkStart w:id="0" w:name="_Toc53148476"/>
      <w:bookmarkStart w:id="1" w:name="_Toc532826395"/>
      <w:bookmarkStart w:id="2" w:name="_Toc434871521"/>
      <w:r w:rsidRPr="00034AC2">
        <w:rPr>
          <w:shd w:val="clear" w:color="auto" w:fill="FFFFFF"/>
        </w:rPr>
        <w:t xml:space="preserve">Komplexní řešení zabezpečené video komunikace </w:t>
      </w:r>
      <w:r w:rsidR="00325E74">
        <w:rPr>
          <w:shd w:val="clear" w:color="auto" w:fill="FFFFFF"/>
        </w:rPr>
        <w:t>– technická specifikace</w:t>
      </w:r>
      <w:bookmarkEnd w:id="0"/>
    </w:p>
    <w:p w14:paraId="25160A25" w14:textId="77777777" w:rsidR="00325E74" w:rsidRDefault="00325E74" w:rsidP="00325E74">
      <w:pPr>
        <w:rPr>
          <w:shd w:val="clear" w:color="auto" w:fill="FFFFFF"/>
        </w:rPr>
      </w:pPr>
    </w:p>
    <w:p w14:paraId="2804E191" w14:textId="7E8E3F3E" w:rsidR="007B2DE2" w:rsidRDefault="007B2DE2" w:rsidP="00325E74">
      <w:pPr>
        <w:rPr>
          <w:shd w:val="clear" w:color="auto" w:fill="FFFFFF"/>
        </w:rPr>
      </w:pPr>
      <w:r>
        <w:rPr>
          <w:shd w:val="clear" w:color="auto" w:fill="FFFFFF"/>
        </w:rPr>
        <w:t xml:space="preserve">V souvislosti s krizovými opatřeními vlády </w:t>
      </w:r>
      <w:r w:rsidR="00F40627">
        <w:rPr>
          <w:shd w:val="clear" w:color="auto" w:fill="FFFFFF"/>
        </w:rPr>
        <w:t>přijatých v důsledku globální</w:t>
      </w:r>
      <w:r>
        <w:rPr>
          <w:shd w:val="clear" w:color="auto" w:fill="FFFFFF"/>
        </w:rPr>
        <w:t xml:space="preserve"> pandemie SARS-CoV-2 Covid-19, je nutné zajistit komunikační prostředky pro </w:t>
      </w:r>
      <w:r w:rsidR="00F40627">
        <w:rPr>
          <w:shd w:val="clear" w:color="auto" w:fill="FFFFFF"/>
        </w:rPr>
        <w:t>chod státního podniku s ohledem na účel pro nějž byl zřízen</w:t>
      </w:r>
      <w:r w:rsidRPr="0057021C">
        <w:rPr>
          <w:shd w:val="clear" w:color="auto" w:fill="FFFFFF"/>
        </w:rPr>
        <w:t>.</w:t>
      </w:r>
      <w:r>
        <w:rPr>
          <w:shd w:val="clear" w:color="auto" w:fill="FFFFFF"/>
        </w:rPr>
        <w:t xml:space="preserve"> Z důvodu výrazného navýšení počtu videohovorů je nezbytně nutné výrazně posílit stávající komunikační řešení tak, aby bylo možné zajistit videokonferenční jednání pro desítky účastníků jak z HW jednotek, tak z mobilních zařízení (notebook, tablet, mobil). Veškerá datová komunikace musí být nadále šifrována end-to-end a musí tak být zabezpečena proti neoprávněné manipulaci s daty.</w:t>
      </w:r>
    </w:p>
    <w:p w14:paraId="7C27374E" w14:textId="77777777" w:rsidR="007B2DE2" w:rsidRDefault="007B2DE2" w:rsidP="00325E74">
      <w:pPr>
        <w:rPr>
          <w:shd w:val="clear" w:color="auto" w:fill="FFFFFF"/>
        </w:rPr>
      </w:pPr>
    </w:p>
    <w:p w14:paraId="598FF0A7" w14:textId="5E4E47D9" w:rsidR="00325E74" w:rsidRPr="00931537" w:rsidRDefault="00325E74" w:rsidP="00325E74">
      <w:pPr>
        <w:rPr>
          <w:shd w:val="clear" w:color="auto" w:fill="FFFFFF"/>
        </w:rPr>
      </w:pPr>
      <w:r w:rsidRPr="00931537">
        <w:rPr>
          <w:shd w:val="clear" w:color="auto" w:fill="FFFFFF"/>
        </w:rPr>
        <w:t xml:space="preserve">Hlavním cílem je </w:t>
      </w:r>
      <w:r>
        <w:rPr>
          <w:shd w:val="clear" w:color="auto" w:fill="FFFFFF"/>
        </w:rPr>
        <w:t xml:space="preserve">vybudování systému umožňující video konferenční hovory splňující přísné bezpečnostní a kvalitativní předpoklady. </w:t>
      </w:r>
    </w:p>
    <w:p w14:paraId="02100DE3" w14:textId="77777777" w:rsidR="00325E74" w:rsidRDefault="00325E74" w:rsidP="00325E74">
      <w:pPr>
        <w:rPr>
          <w:shd w:val="clear" w:color="auto" w:fill="FFFFFF"/>
        </w:rPr>
      </w:pPr>
      <w:r w:rsidRPr="00931537">
        <w:rPr>
          <w:shd w:val="clear" w:color="auto" w:fill="FFFFFF"/>
        </w:rPr>
        <w:t>Cílem řešení je poskytnout moderní, stabilní a bezpečnou komunikační platformu, která umožní efektivní a intuitivní komunikaci v rámci organizace, ale zároveň umožní propojení s externími organizacemi a uživateli (</w:t>
      </w:r>
      <w:r>
        <w:rPr>
          <w:shd w:val="clear" w:color="auto" w:fill="FFFFFF"/>
        </w:rPr>
        <w:t xml:space="preserve">Ostatní složky MO, </w:t>
      </w:r>
      <w:r w:rsidRPr="00931537">
        <w:rPr>
          <w:shd w:val="clear" w:color="auto" w:fill="FFFFFF"/>
        </w:rPr>
        <w:t xml:space="preserve">MVČR, aj.). Řešení musí plně integrovat videokonferenční terminály, umožnit rozšíření o SW klienty do laptopů vybraných uživatelů, případně mobilních zařízeních a umožnění přístupu uživatelů z web prohlížečů s podporou </w:t>
      </w:r>
      <w:proofErr w:type="spellStart"/>
      <w:r w:rsidRPr="00931537">
        <w:rPr>
          <w:shd w:val="clear" w:color="auto" w:fill="FFFFFF"/>
        </w:rPr>
        <w:t>WebRTC</w:t>
      </w:r>
      <w:proofErr w:type="spellEnd"/>
      <w:r w:rsidRPr="00931537">
        <w:rPr>
          <w:shd w:val="clear" w:color="auto" w:fill="FFFFFF"/>
        </w:rPr>
        <w:t>.</w:t>
      </w:r>
    </w:p>
    <w:p w14:paraId="3CF1816D" w14:textId="120191AC" w:rsidR="00325E74" w:rsidRDefault="00325E74" w:rsidP="00325E74">
      <w:pPr>
        <w:rPr>
          <w:shd w:val="clear" w:color="auto" w:fill="FFFFFF"/>
        </w:rPr>
      </w:pPr>
    </w:p>
    <w:p w14:paraId="2D1A3E0C" w14:textId="77777777" w:rsidR="00325E74" w:rsidRDefault="00325E74" w:rsidP="00325E74">
      <w:pPr>
        <w:pStyle w:val="Nadpis1"/>
      </w:pPr>
      <w:bookmarkStart w:id="3" w:name="_Toc53148477"/>
      <w:r>
        <w:t>Popis požadovaných funkcionalit</w:t>
      </w:r>
      <w:bookmarkEnd w:id="3"/>
    </w:p>
    <w:p w14:paraId="62CB1D36" w14:textId="77777777" w:rsidR="00325E74" w:rsidRDefault="00325E74" w:rsidP="00325E74">
      <w:pPr>
        <w:ind w:left="0" w:firstLine="0"/>
        <w:rPr>
          <w:rFonts w:asciiTheme="minorHAnsi" w:eastAsiaTheme="majorEastAsia" w:hAnsiTheme="minorHAnsi" w:cstheme="minorHAnsi"/>
          <w:color w:val="auto"/>
        </w:rPr>
      </w:pPr>
    </w:p>
    <w:p w14:paraId="252C8C11" w14:textId="77777777" w:rsidR="00325E74" w:rsidRPr="009547B6" w:rsidRDefault="00325E74" w:rsidP="007B2DE2">
      <w:pPr>
        <w:ind w:left="0" w:firstLine="0"/>
        <w:rPr>
          <w:rFonts w:asciiTheme="minorHAnsi" w:eastAsiaTheme="majorEastAsia" w:hAnsiTheme="minorHAnsi" w:cstheme="minorHAnsi"/>
          <w:color w:val="auto"/>
        </w:rPr>
      </w:pPr>
      <w:r w:rsidRPr="009547B6">
        <w:rPr>
          <w:rFonts w:asciiTheme="minorHAnsi" w:eastAsiaTheme="majorEastAsia" w:hAnsiTheme="minorHAnsi" w:cstheme="minorHAnsi"/>
          <w:color w:val="auto"/>
        </w:rPr>
        <w:t xml:space="preserve">Systém zajistí zpracování a směrování hovorů (hlasových i video), umožní funkce, jako jsou adresáře, záznamy o volání, uživatelský portál. </w:t>
      </w:r>
    </w:p>
    <w:p w14:paraId="39062DC9" w14:textId="77777777" w:rsidR="00325E74" w:rsidRPr="009547B6" w:rsidRDefault="00325E74" w:rsidP="007B2DE2">
      <w:pPr>
        <w:rPr>
          <w:rFonts w:asciiTheme="minorHAnsi" w:eastAsiaTheme="majorEastAsia" w:hAnsiTheme="minorHAnsi" w:cstheme="minorHAnsi"/>
          <w:color w:val="auto"/>
        </w:rPr>
      </w:pPr>
      <w:r w:rsidRPr="009547B6">
        <w:rPr>
          <w:rFonts w:asciiTheme="minorHAnsi" w:eastAsiaTheme="majorEastAsia" w:hAnsiTheme="minorHAnsi" w:cstheme="minorHAnsi"/>
          <w:color w:val="auto"/>
        </w:rPr>
        <w:t xml:space="preserve">Systém musí </w:t>
      </w:r>
      <w:r>
        <w:rPr>
          <w:rFonts w:asciiTheme="minorHAnsi" w:eastAsiaTheme="majorEastAsia" w:hAnsiTheme="minorHAnsi" w:cstheme="minorHAnsi"/>
          <w:color w:val="auto"/>
        </w:rPr>
        <w:t>umožnit</w:t>
      </w:r>
      <w:r w:rsidRPr="009547B6">
        <w:rPr>
          <w:rFonts w:asciiTheme="minorHAnsi" w:eastAsiaTheme="majorEastAsia" w:hAnsiTheme="minorHAnsi" w:cstheme="minorHAnsi"/>
          <w:color w:val="auto"/>
        </w:rPr>
        <w:t xml:space="preserve"> pln</w:t>
      </w:r>
      <w:r>
        <w:rPr>
          <w:rFonts w:asciiTheme="minorHAnsi" w:eastAsiaTheme="majorEastAsia" w:hAnsiTheme="minorHAnsi" w:cstheme="minorHAnsi"/>
          <w:color w:val="auto"/>
        </w:rPr>
        <w:t>ou</w:t>
      </w:r>
      <w:r w:rsidRPr="009547B6">
        <w:rPr>
          <w:rFonts w:asciiTheme="minorHAnsi" w:eastAsiaTheme="majorEastAsia" w:hAnsiTheme="minorHAnsi" w:cstheme="minorHAnsi"/>
          <w:color w:val="auto"/>
        </w:rPr>
        <w:t xml:space="preserve"> redundan</w:t>
      </w:r>
      <w:r>
        <w:rPr>
          <w:rFonts w:asciiTheme="minorHAnsi" w:eastAsiaTheme="majorEastAsia" w:hAnsiTheme="minorHAnsi" w:cstheme="minorHAnsi"/>
          <w:color w:val="auto"/>
        </w:rPr>
        <w:t>ci</w:t>
      </w:r>
      <w:r w:rsidRPr="009547B6">
        <w:rPr>
          <w:rFonts w:asciiTheme="minorHAnsi" w:eastAsiaTheme="majorEastAsia" w:hAnsiTheme="minorHAnsi" w:cstheme="minorHAnsi"/>
          <w:color w:val="auto"/>
        </w:rPr>
        <w:t xml:space="preserve">. Cílem má být zajištění maximální dostupnosti budoucím zdvojením klíčových prvků řešení. </w:t>
      </w:r>
    </w:p>
    <w:p w14:paraId="3D17480B" w14:textId="77777777" w:rsidR="00325E74" w:rsidRPr="005E38DF" w:rsidRDefault="00325E74" w:rsidP="007B2DE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8DF">
        <w:rPr>
          <w:rFonts w:asciiTheme="minorHAnsi" w:hAnsiTheme="minorHAnsi" w:cstheme="minorHAnsi"/>
          <w:sz w:val="22"/>
          <w:szCs w:val="22"/>
        </w:rPr>
        <w:t>Nasazení centralizovaného modelu zpracovávání hovorů formou aplikačního clusteru, který bude zajišťovat centralizovanou správu celého systému pomocí webového rozhraní.</w:t>
      </w:r>
    </w:p>
    <w:p w14:paraId="4133A789" w14:textId="77777777" w:rsidR="00325E74" w:rsidRPr="005E38DF" w:rsidRDefault="00325E74" w:rsidP="007B2DE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8DF">
        <w:rPr>
          <w:rFonts w:asciiTheme="minorHAnsi" w:hAnsiTheme="minorHAnsi" w:cstheme="minorHAnsi"/>
          <w:sz w:val="22"/>
          <w:szCs w:val="22"/>
        </w:rPr>
        <w:t>V případě doplnění o další server a nasazení clusteru musí umožňovat rozkládání zátěže služeb mezi jednotlivé servery clusteru (redundance 1:1) - při výpadku automatický přechod dotčených prvků řešení na zálohu bez nutnosti zásahu administrátora.</w:t>
      </w:r>
    </w:p>
    <w:p w14:paraId="75AF0EEE" w14:textId="77777777" w:rsidR="00325E74" w:rsidRDefault="00325E74" w:rsidP="007B2DE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8DF">
        <w:rPr>
          <w:rFonts w:asciiTheme="minorHAnsi" w:hAnsiTheme="minorHAnsi" w:cstheme="minorHAnsi"/>
          <w:sz w:val="22"/>
          <w:szCs w:val="22"/>
        </w:rPr>
        <w:t>Po odstranění závady automatický přechod dotčených prvků řešení do původního stavu (např. na primární řídící server nebo hlasovou přípojku)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CAA55" w14:textId="77777777" w:rsidR="00325E74" w:rsidRPr="009547B6" w:rsidRDefault="00325E74" w:rsidP="007B2DE2">
      <w:pPr>
        <w:rPr>
          <w:rFonts w:asciiTheme="minorHAnsi" w:eastAsiaTheme="majorEastAsia" w:hAnsiTheme="minorHAnsi" w:cstheme="minorHAnsi"/>
          <w:color w:val="auto"/>
        </w:rPr>
      </w:pPr>
    </w:p>
    <w:p w14:paraId="477F720B" w14:textId="77777777" w:rsidR="00325E74" w:rsidRPr="009547B6" w:rsidRDefault="00325E74" w:rsidP="007B2DE2">
      <w:pPr>
        <w:rPr>
          <w:rFonts w:asciiTheme="minorHAnsi" w:eastAsiaTheme="majorEastAsia" w:hAnsiTheme="minorHAnsi" w:cstheme="minorHAnsi"/>
          <w:color w:val="auto"/>
        </w:rPr>
      </w:pPr>
      <w:r w:rsidRPr="009547B6">
        <w:rPr>
          <w:rFonts w:asciiTheme="minorHAnsi" w:eastAsiaTheme="majorEastAsia" w:hAnsiTheme="minorHAnsi" w:cstheme="minorHAnsi"/>
          <w:color w:val="auto"/>
        </w:rPr>
        <w:t>Komunikační systém bude poskytovat otevřená a dokumentovaná rozhraní následujících služeb:</w:t>
      </w:r>
    </w:p>
    <w:p w14:paraId="7F46F0CD" w14:textId="77777777" w:rsidR="00325E74" w:rsidRPr="005E38DF" w:rsidRDefault="00325E74" w:rsidP="007B2DE2">
      <w:pPr>
        <w:pStyle w:val="Odstavecseseznamem"/>
        <w:numPr>
          <w:ilvl w:val="0"/>
          <w:numId w:val="1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5E38DF">
        <w:rPr>
          <w:rFonts w:asciiTheme="minorHAnsi" w:eastAsiaTheme="majorEastAsia" w:hAnsiTheme="minorHAnsi" w:cstheme="minorHAnsi"/>
          <w:sz w:val="22"/>
          <w:szCs w:val="22"/>
        </w:rPr>
        <w:t>Signalizace SIP, H.323, MGCP</w:t>
      </w:r>
    </w:p>
    <w:p w14:paraId="5F90DC63" w14:textId="77777777" w:rsidR="00325E74" w:rsidRPr="005E38DF" w:rsidRDefault="00325E74" w:rsidP="007B2DE2">
      <w:pPr>
        <w:pStyle w:val="Odstavecseseznamem"/>
        <w:numPr>
          <w:ilvl w:val="0"/>
          <w:numId w:val="1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5E38DF">
        <w:rPr>
          <w:rFonts w:asciiTheme="minorHAnsi" w:eastAsiaTheme="majorEastAsia" w:hAnsiTheme="minorHAnsi" w:cstheme="minorHAnsi"/>
          <w:sz w:val="22"/>
          <w:szCs w:val="22"/>
        </w:rPr>
        <w:t>Aplikace HTTP, XML, SOAP, SIP, TAPI, JTAPI</w:t>
      </w:r>
    </w:p>
    <w:p w14:paraId="53639BCE" w14:textId="77777777" w:rsidR="00325E74" w:rsidRPr="009547B6" w:rsidRDefault="00325E74" w:rsidP="007B2DE2">
      <w:pPr>
        <w:rPr>
          <w:rFonts w:asciiTheme="minorHAnsi" w:eastAsiaTheme="majorEastAsia" w:hAnsiTheme="minorHAnsi" w:cstheme="minorHAnsi"/>
          <w:color w:val="auto"/>
        </w:rPr>
      </w:pPr>
    </w:p>
    <w:p w14:paraId="2F5CFF82" w14:textId="77777777" w:rsidR="00325E74" w:rsidRPr="009547B6" w:rsidRDefault="00325E74" w:rsidP="007B2DE2">
      <w:pPr>
        <w:rPr>
          <w:rFonts w:asciiTheme="minorHAnsi" w:eastAsiaTheme="majorEastAsia" w:hAnsiTheme="minorHAnsi" w:cstheme="minorHAnsi"/>
          <w:color w:val="auto"/>
        </w:rPr>
      </w:pPr>
      <w:r w:rsidRPr="009547B6">
        <w:rPr>
          <w:rFonts w:asciiTheme="minorHAnsi" w:eastAsiaTheme="majorEastAsia" w:hAnsiTheme="minorHAnsi" w:cstheme="minorHAnsi"/>
          <w:color w:val="auto"/>
        </w:rPr>
        <w:t xml:space="preserve">Komunikační systém musí umožnit efektivní řízení využití přenosové kapacity (Call </w:t>
      </w:r>
      <w:proofErr w:type="spellStart"/>
      <w:r w:rsidRPr="009547B6">
        <w:rPr>
          <w:rFonts w:asciiTheme="minorHAnsi" w:eastAsiaTheme="majorEastAsia" w:hAnsiTheme="minorHAnsi" w:cstheme="minorHAnsi"/>
          <w:color w:val="auto"/>
        </w:rPr>
        <w:t>Admission</w:t>
      </w:r>
      <w:proofErr w:type="spellEnd"/>
      <w:r w:rsidRPr="009547B6">
        <w:rPr>
          <w:rFonts w:asciiTheme="minorHAnsi" w:eastAsiaTheme="majorEastAsia" w:hAnsiTheme="minorHAnsi" w:cstheme="minorHAnsi"/>
          <w:color w:val="auto"/>
        </w:rPr>
        <w:t xml:space="preserve"> </w:t>
      </w:r>
      <w:proofErr w:type="spellStart"/>
      <w:r w:rsidRPr="009547B6">
        <w:rPr>
          <w:rFonts w:asciiTheme="minorHAnsi" w:eastAsiaTheme="majorEastAsia" w:hAnsiTheme="minorHAnsi" w:cstheme="minorHAnsi"/>
          <w:color w:val="auto"/>
        </w:rPr>
        <w:t>Control</w:t>
      </w:r>
      <w:proofErr w:type="spellEnd"/>
      <w:r w:rsidRPr="009547B6">
        <w:rPr>
          <w:rFonts w:asciiTheme="minorHAnsi" w:eastAsiaTheme="majorEastAsia" w:hAnsiTheme="minorHAnsi" w:cstheme="minorHAnsi"/>
          <w:color w:val="auto"/>
        </w:rPr>
        <w:t xml:space="preserve"> „CAC“). CAC musí umožňovat centrální správu řízení včetně </w:t>
      </w:r>
      <w:proofErr w:type="spellStart"/>
      <w:r w:rsidRPr="009547B6">
        <w:rPr>
          <w:rFonts w:asciiTheme="minorHAnsi" w:eastAsiaTheme="majorEastAsia" w:hAnsiTheme="minorHAnsi" w:cstheme="minorHAnsi"/>
          <w:color w:val="auto"/>
        </w:rPr>
        <w:t>real-time</w:t>
      </w:r>
      <w:proofErr w:type="spellEnd"/>
      <w:r w:rsidRPr="009547B6">
        <w:rPr>
          <w:rFonts w:asciiTheme="minorHAnsi" w:eastAsiaTheme="majorEastAsia" w:hAnsiTheme="minorHAnsi" w:cstheme="minorHAnsi"/>
          <w:color w:val="auto"/>
        </w:rPr>
        <w:t xml:space="preserve"> komunikace mezi řídicími servery komunikačního systému a komunikačními prvky IP infrastruktury o dostupnosti přenosového pásma pro hlasové a video hovory. CAC musí dále umožnit:</w:t>
      </w:r>
    </w:p>
    <w:p w14:paraId="1DC2F79E" w14:textId="77777777" w:rsidR="00325E74" w:rsidRPr="009547B6" w:rsidRDefault="00325E74" w:rsidP="007B2DE2">
      <w:pPr>
        <w:pStyle w:val="Odstavecseseznamem"/>
        <w:numPr>
          <w:ilvl w:val="0"/>
          <w:numId w:val="1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9547B6">
        <w:rPr>
          <w:rFonts w:asciiTheme="minorHAnsi" w:eastAsiaTheme="majorEastAsia" w:hAnsiTheme="minorHAnsi" w:cstheme="minorHAnsi"/>
          <w:sz w:val="22"/>
          <w:szCs w:val="22"/>
        </w:rPr>
        <w:t>řízení přenosového pásma pro hlasové a video služby společně;</w:t>
      </w:r>
    </w:p>
    <w:p w14:paraId="5BA2369F" w14:textId="77777777" w:rsidR="00325E74" w:rsidRPr="009547B6" w:rsidRDefault="00325E74" w:rsidP="007B2DE2">
      <w:pPr>
        <w:pStyle w:val="Odstavecseseznamem"/>
        <w:numPr>
          <w:ilvl w:val="0"/>
          <w:numId w:val="1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9547B6">
        <w:rPr>
          <w:rFonts w:asciiTheme="minorHAnsi" w:eastAsiaTheme="majorEastAsia" w:hAnsiTheme="minorHAnsi" w:cstheme="minorHAnsi"/>
          <w:sz w:val="22"/>
          <w:szCs w:val="22"/>
        </w:rPr>
        <w:t>specifikaci garantované šířky pásma a použitého kódování hlasových a video toků;</w:t>
      </w:r>
    </w:p>
    <w:p w14:paraId="791663E0" w14:textId="77777777" w:rsidR="00325E74" w:rsidRPr="009547B6" w:rsidRDefault="00325E74" w:rsidP="007B2DE2">
      <w:pPr>
        <w:pStyle w:val="Odstavecseseznamem"/>
        <w:numPr>
          <w:ilvl w:val="0"/>
          <w:numId w:val="1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9547B6">
        <w:rPr>
          <w:rFonts w:asciiTheme="minorHAnsi" w:eastAsiaTheme="majorEastAsia" w:hAnsiTheme="minorHAnsi" w:cstheme="minorHAnsi"/>
          <w:sz w:val="22"/>
          <w:szCs w:val="22"/>
        </w:rPr>
        <w:t>využití více komunikačních cest (rozložení zátěže a záložní trasy) s různou přenosovou kapacitou.</w:t>
      </w:r>
    </w:p>
    <w:p w14:paraId="6B027AB7" w14:textId="77777777" w:rsidR="00325E74" w:rsidRDefault="00325E74" w:rsidP="007B2DE2">
      <w:pPr>
        <w:spacing w:after="160" w:line="259" w:lineRule="auto"/>
        <w:ind w:left="0" w:right="0" w:firstLine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4" w:name="_Využití_licencí_stávajícího"/>
      <w:bookmarkStart w:id="5" w:name="_Toc532826406"/>
      <w:bookmarkEnd w:id="1"/>
      <w:bookmarkEnd w:id="2"/>
      <w:bookmarkEnd w:id="4"/>
      <w:r>
        <w:br w:type="page"/>
      </w:r>
    </w:p>
    <w:p w14:paraId="592A9F83" w14:textId="77777777" w:rsidR="00325E74" w:rsidRDefault="00325E74" w:rsidP="007B2DE2">
      <w:pPr>
        <w:pStyle w:val="Nadpis1"/>
      </w:pPr>
      <w:bookmarkStart w:id="6" w:name="_Toc53148478"/>
      <w:r>
        <w:lastRenderedPageBreak/>
        <w:t>Požadavky na videokonferenční hovory</w:t>
      </w:r>
      <w:bookmarkEnd w:id="5"/>
      <w:bookmarkEnd w:id="6"/>
    </w:p>
    <w:p w14:paraId="5336471F" w14:textId="77777777" w:rsidR="00325E74" w:rsidRPr="00B947BC" w:rsidRDefault="00325E74" w:rsidP="007B2DE2"/>
    <w:p w14:paraId="645344A1" w14:textId="77777777" w:rsidR="00325E74" w:rsidRPr="00922314" w:rsidRDefault="00325E74" w:rsidP="007B2DE2">
      <w:pPr>
        <w:spacing w:after="160" w:line="259" w:lineRule="auto"/>
      </w:pPr>
      <w:r>
        <w:t>Komunikační</w:t>
      </w:r>
      <w:r w:rsidRPr="00922314">
        <w:t xml:space="preserve"> systém musí podporovat realizaci video konferenčních hovorů s možností připoj</w:t>
      </w:r>
      <w:r>
        <w:t>it do jedné konference účastníky</w:t>
      </w:r>
      <w:r w:rsidRPr="00922314">
        <w:t xml:space="preserve"> z různých objektů, jejichž terminály podporují různé typy kodeků a rozlišení. </w:t>
      </w:r>
    </w:p>
    <w:p w14:paraId="697CC28E" w14:textId="77777777" w:rsidR="00325E74" w:rsidRPr="00922314" w:rsidRDefault="00325E74" w:rsidP="007B2DE2">
      <w:pPr>
        <w:spacing w:after="160" w:line="259" w:lineRule="auto"/>
      </w:pPr>
      <w:r>
        <w:t>Komunikační</w:t>
      </w:r>
      <w:r w:rsidRPr="00922314">
        <w:t xml:space="preserve"> systém rovněž umožní účast uživatelů v konferenci i v případě, že </w:t>
      </w:r>
      <w:r>
        <w:t>koncové zařízení</w:t>
      </w:r>
      <w:r w:rsidRPr="00922314">
        <w:t xml:space="preserve"> podporuje pouze audio služby (telefonní přístroj, mobilní telefon</w:t>
      </w:r>
      <w:r>
        <w:t xml:space="preserve"> – v tuto chvíli nepožadujeme hovory z VTS</w:t>
      </w:r>
      <w:r w:rsidRPr="00922314">
        <w:t xml:space="preserve">). </w:t>
      </w:r>
    </w:p>
    <w:p w14:paraId="7240BB44" w14:textId="77777777" w:rsidR="00325E74" w:rsidRPr="00545A2F" w:rsidRDefault="00325E74" w:rsidP="007B2DE2">
      <w:pPr>
        <w:spacing w:after="120"/>
        <w:rPr>
          <w:rFonts w:cstheme="minorHAnsi"/>
        </w:rPr>
      </w:pPr>
      <w:r w:rsidRPr="00545A2F">
        <w:rPr>
          <w:rFonts w:cstheme="minorHAnsi"/>
        </w:rPr>
        <w:t>Pro zajištění užitné hodnoty videokonferenčních zařízení je nezbytné, aby řešení umožnilo:</w:t>
      </w:r>
    </w:p>
    <w:p w14:paraId="385D1F4F" w14:textId="77777777" w:rsidR="00325E74" w:rsidRPr="00545A2F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5A2F">
        <w:rPr>
          <w:rFonts w:asciiTheme="minorHAnsi" w:hAnsiTheme="minorHAnsi" w:cstheme="minorHAnsi"/>
          <w:sz w:val="22"/>
          <w:szCs w:val="22"/>
        </w:rPr>
        <w:t>Integraci videokonferenčních terminálů do společného číslovacího plánu (E164/URI) a pod jedno centrální řízení tak, aby bylo možné spojit konferenci i s účastníky, kteří nemají klienta s podporou videa. Registrace k centrálnímu řídícímu uzlu s autentizací (například SIP/TLS) a šifrování media kanálu (</w:t>
      </w:r>
      <w:proofErr w:type="spellStart"/>
      <w:r w:rsidRPr="00545A2F">
        <w:rPr>
          <w:rFonts w:asciiTheme="minorHAnsi" w:hAnsiTheme="minorHAnsi" w:cstheme="minorHAnsi"/>
          <w:sz w:val="22"/>
          <w:szCs w:val="22"/>
        </w:rPr>
        <w:t>sRTP</w:t>
      </w:r>
      <w:proofErr w:type="spellEnd"/>
      <w:r w:rsidRPr="00545A2F">
        <w:rPr>
          <w:rFonts w:asciiTheme="minorHAnsi" w:hAnsiTheme="minorHAnsi" w:cstheme="minorHAnsi"/>
          <w:sz w:val="22"/>
          <w:szCs w:val="22"/>
        </w:rPr>
        <w:t xml:space="preserve"> – AES).</w:t>
      </w:r>
    </w:p>
    <w:p w14:paraId="6786DA0F" w14:textId="77777777" w:rsidR="00325E74" w:rsidRPr="00545A2F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545A2F">
        <w:rPr>
          <w:rFonts w:asciiTheme="minorHAnsi" w:hAnsiTheme="minorHAnsi" w:cstheme="minorHAnsi"/>
          <w:sz w:val="22"/>
          <w:szCs w:val="22"/>
        </w:rPr>
        <w:t>ideokonferenční terminály musí podporovat kvalitu obrazového rozlišení v různých formátech od CIF až po HD/FullHD a kodeků H.261/263/264. Podpora hlasových kodeků jak v širokopásmové oblasti (například AAC-LD, G.722, G. 711) tak i kodeky s nižšími nároky či opravnými mechanismy (například G.729).</w:t>
      </w:r>
    </w:p>
    <w:p w14:paraId="3B6872C7" w14:textId="77777777" w:rsidR="00325E74" w:rsidRPr="00545A2F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5A2F">
        <w:rPr>
          <w:rFonts w:asciiTheme="minorHAnsi" w:hAnsiTheme="minorHAnsi" w:cstheme="minorHAnsi"/>
          <w:sz w:val="22"/>
          <w:szCs w:val="22"/>
        </w:rPr>
        <w:t>Videokonferenční terminály musí podporovat u vybraných modelů režim druhé obrazovky (</w:t>
      </w:r>
      <w:proofErr w:type="spellStart"/>
      <w:r w:rsidRPr="00545A2F">
        <w:rPr>
          <w:rFonts w:asciiTheme="minorHAnsi" w:hAnsiTheme="minorHAnsi" w:cstheme="minorHAnsi"/>
          <w:sz w:val="22"/>
          <w:szCs w:val="22"/>
        </w:rPr>
        <w:t>Dual</w:t>
      </w:r>
      <w:proofErr w:type="spellEnd"/>
      <w:r w:rsidRPr="00545A2F">
        <w:rPr>
          <w:rFonts w:asciiTheme="minorHAnsi" w:hAnsiTheme="minorHAnsi" w:cstheme="minorHAnsi"/>
          <w:sz w:val="22"/>
          <w:szCs w:val="22"/>
        </w:rPr>
        <w:t xml:space="preserve"> Display) a možnost paralelního prezentačního kanálu nebo dokument kameru.</w:t>
      </w:r>
    </w:p>
    <w:p w14:paraId="31080367" w14:textId="77777777" w:rsidR="00325E74" w:rsidRPr="00545A2F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5A2F">
        <w:rPr>
          <w:rFonts w:asciiTheme="minorHAnsi" w:hAnsiTheme="minorHAnsi" w:cstheme="minorHAnsi"/>
          <w:sz w:val="22"/>
          <w:szCs w:val="22"/>
        </w:rPr>
        <w:t xml:space="preserve">Přístup k adresářovým službám, telefonním seznamům v rámci organizace (centrální řídící uzel, </w:t>
      </w:r>
      <w:proofErr w:type="gramStart"/>
      <w:r w:rsidRPr="00545A2F">
        <w:rPr>
          <w:rFonts w:asciiTheme="minorHAnsi" w:hAnsiTheme="minorHAnsi" w:cstheme="minorHAnsi"/>
          <w:sz w:val="22"/>
          <w:szCs w:val="22"/>
        </w:rPr>
        <w:t>AD,</w:t>
      </w:r>
      <w:proofErr w:type="gramEnd"/>
      <w:r w:rsidRPr="00545A2F">
        <w:rPr>
          <w:rFonts w:asciiTheme="minorHAnsi" w:hAnsiTheme="minorHAnsi" w:cstheme="minorHAnsi"/>
          <w:sz w:val="22"/>
          <w:szCs w:val="22"/>
        </w:rPr>
        <w:t xml:space="preserve"> apod.)</w:t>
      </w:r>
    </w:p>
    <w:p w14:paraId="1B77485C" w14:textId="77777777" w:rsidR="00325E7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5A2F">
        <w:rPr>
          <w:rFonts w:asciiTheme="minorHAnsi" w:hAnsiTheme="minorHAnsi" w:cstheme="minorHAnsi"/>
          <w:sz w:val="22"/>
          <w:szCs w:val="22"/>
        </w:rPr>
        <w:t>Propojení s videokonferenčními jednotkami, které jsou umístěné v jiných organizacích státní správy, tj. dostupné přes firewall a překlad adres.</w:t>
      </w:r>
    </w:p>
    <w:p w14:paraId="4A1F9EE7" w14:textId="77777777" w:rsidR="00325E74" w:rsidRDefault="00325E74" w:rsidP="007B2DE2">
      <w:pPr>
        <w:spacing w:after="120"/>
        <w:rPr>
          <w:rFonts w:cstheme="minorHAnsi"/>
        </w:rPr>
      </w:pPr>
    </w:p>
    <w:p w14:paraId="3A1FE793" w14:textId="77777777" w:rsidR="00325E74" w:rsidRPr="005735FC" w:rsidRDefault="00325E74" w:rsidP="007B2DE2">
      <w:pPr>
        <w:spacing w:after="120"/>
        <w:rPr>
          <w:rFonts w:cstheme="minorHAnsi"/>
          <w:b/>
        </w:rPr>
      </w:pPr>
      <w:r w:rsidRPr="005735FC">
        <w:rPr>
          <w:rFonts w:cstheme="minorHAnsi"/>
          <w:b/>
        </w:rPr>
        <w:t>Videokonferenční server pro spojení více účastnické konference musí podporovat:</w:t>
      </w:r>
    </w:p>
    <w:p w14:paraId="7503BC34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formu zobrazení účastníků schůzky v různých scénářích (</w:t>
      </w:r>
      <w:proofErr w:type="spellStart"/>
      <w:r w:rsidRPr="00922314">
        <w:rPr>
          <w:rFonts w:asciiTheme="minorHAnsi" w:hAnsiTheme="minorHAnsi" w:cstheme="minorHAnsi"/>
          <w:sz w:val="22"/>
          <w:szCs w:val="22"/>
        </w:rPr>
        <w:t>Continous</w:t>
      </w:r>
      <w:proofErr w:type="spellEnd"/>
      <w:r w:rsidRPr="00922314">
        <w:rPr>
          <w:rFonts w:asciiTheme="minorHAnsi" w:hAnsiTheme="minorHAnsi" w:cstheme="minorHAnsi"/>
          <w:sz w:val="22"/>
          <w:szCs w:val="22"/>
        </w:rPr>
        <w:t xml:space="preserve"> Presence) s možností definování vlastního rozložení obrazu.</w:t>
      </w:r>
    </w:p>
    <w:p w14:paraId="2B5813DF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„Ad-hoc“ konference – eskalace dvoubodového spojení do konference více účastníků. Výběr konferenčních zdrojů v rámci sítě podle umístění účastníků – optimalizace datových toků v síti.</w:t>
      </w:r>
    </w:p>
    <w:p w14:paraId="6CFF2AF3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Více účastnická „</w:t>
      </w:r>
      <w:proofErr w:type="gramStart"/>
      <w:r w:rsidRPr="00922314">
        <w:rPr>
          <w:rFonts w:asciiTheme="minorHAnsi" w:hAnsiTheme="minorHAnsi" w:cstheme="minorHAnsi"/>
          <w:sz w:val="22"/>
          <w:szCs w:val="22"/>
        </w:rPr>
        <w:t>Rendezvous</w:t>
      </w:r>
      <w:proofErr w:type="gramEnd"/>
      <w:r w:rsidRPr="00922314">
        <w:rPr>
          <w:rFonts w:asciiTheme="minorHAnsi" w:hAnsiTheme="minorHAnsi" w:cstheme="minorHAnsi"/>
          <w:sz w:val="22"/>
          <w:szCs w:val="22"/>
        </w:rPr>
        <w:t xml:space="preserve">“ konference s možností ověření přístupu </w:t>
      </w:r>
      <w:proofErr w:type="spellStart"/>
      <w:r w:rsidRPr="00922314">
        <w:rPr>
          <w:rFonts w:asciiTheme="minorHAnsi" w:hAnsiTheme="minorHAnsi" w:cstheme="minorHAnsi"/>
          <w:sz w:val="22"/>
          <w:szCs w:val="22"/>
        </w:rPr>
        <w:t>PINem</w:t>
      </w:r>
      <w:proofErr w:type="spellEnd"/>
      <w:r w:rsidRPr="00922314">
        <w:rPr>
          <w:rFonts w:asciiTheme="minorHAnsi" w:hAnsiTheme="minorHAnsi" w:cstheme="minorHAnsi"/>
          <w:sz w:val="22"/>
          <w:szCs w:val="22"/>
        </w:rPr>
        <w:t>.</w:t>
      </w:r>
    </w:p>
    <w:p w14:paraId="141F9D6C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Automatické obvolání účastníků konference.</w:t>
      </w:r>
    </w:p>
    <w:p w14:paraId="1BE6F681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551D">
        <w:rPr>
          <w:rFonts w:asciiTheme="minorHAnsi" w:hAnsiTheme="minorHAnsi" w:cstheme="minorHAnsi"/>
          <w:sz w:val="22"/>
          <w:szCs w:val="22"/>
        </w:rPr>
        <w:t>Řídící a plánovací systém pro Windows</w:t>
      </w:r>
      <w:r>
        <w:rPr>
          <w:rFonts w:asciiTheme="minorHAnsi" w:hAnsiTheme="minorHAnsi" w:cstheme="minorHAnsi"/>
          <w:sz w:val="22"/>
          <w:szCs w:val="22"/>
        </w:rPr>
        <w:t xml:space="preserve"> (Windows server není předmětem této ZD) – Systém</w:t>
      </w:r>
      <w:r w:rsidRPr="00F0551D">
        <w:rPr>
          <w:rFonts w:asciiTheme="minorHAnsi" w:hAnsiTheme="minorHAnsi" w:cstheme="minorHAnsi"/>
          <w:sz w:val="22"/>
          <w:szCs w:val="22"/>
        </w:rPr>
        <w:t xml:space="preserve"> pro správu a plánování zaregistrovaných videokonferenčních jednotek, správa adresářů, logování a statistiky, </w:t>
      </w:r>
      <w:proofErr w:type="spellStart"/>
      <w:r w:rsidRPr="00F0551D">
        <w:rPr>
          <w:rFonts w:asciiTheme="minorHAnsi" w:hAnsiTheme="minorHAnsi" w:cstheme="minorHAnsi"/>
          <w:sz w:val="22"/>
          <w:szCs w:val="22"/>
        </w:rPr>
        <w:t>provisioning</w:t>
      </w:r>
      <w:proofErr w:type="spellEnd"/>
      <w:r w:rsidRPr="00F0551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25 </w:t>
      </w:r>
      <w:r w:rsidRPr="005735FC">
        <w:rPr>
          <w:rFonts w:asciiTheme="minorHAnsi" w:hAnsiTheme="minorHAnsi" w:cstheme="minorHAnsi"/>
          <w:sz w:val="22"/>
          <w:szCs w:val="22"/>
        </w:rPr>
        <w:t>registrací pro koncové videokonferenční jednotky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8B642C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Sdílení doprovodného prezentačního kanálů v rámci konference.</w:t>
      </w:r>
    </w:p>
    <w:p w14:paraId="2C8E8D07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Podpora rozlišení jednotlivých účastníků v rozsahu CIF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22314">
        <w:rPr>
          <w:rFonts w:asciiTheme="minorHAnsi" w:hAnsiTheme="minorHAnsi" w:cstheme="minorHAnsi"/>
          <w:sz w:val="22"/>
          <w:szCs w:val="22"/>
        </w:rPr>
        <w:t>FullHD. Přidělování kapacity konferenčních zdrojů odpovídající požadavkům rozlišení jednotlivých účastníků.</w:t>
      </w:r>
    </w:p>
    <w:p w14:paraId="73C5235A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Registrace k centrálnímu řídícímu uzlu s autentizací (SIP/TLS) a šifrování media kanálu (</w:t>
      </w:r>
      <w:proofErr w:type="spellStart"/>
      <w:r w:rsidRPr="00922314">
        <w:rPr>
          <w:rFonts w:asciiTheme="minorHAnsi" w:hAnsiTheme="minorHAnsi" w:cstheme="minorHAnsi"/>
          <w:sz w:val="22"/>
          <w:szCs w:val="22"/>
        </w:rPr>
        <w:t>sRTP</w:t>
      </w:r>
      <w:proofErr w:type="spellEnd"/>
      <w:r w:rsidRPr="00922314">
        <w:rPr>
          <w:rFonts w:asciiTheme="minorHAnsi" w:hAnsiTheme="minorHAnsi" w:cstheme="minorHAnsi"/>
          <w:sz w:val="22"/>
          <w:szCs w:val="22"/>
        </w:rPr>
        <w:t xml:space="preserve"> – AES).</w:t>
      </w:r>
    </w:p>
    <w:p w14:paraId="6CEA1D6B" w14:textId="77777777" w:rsidR="00325E74" w:rsidRPr="0092231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>Podpora video kodeků H.264.</w:t>
      </w:r>
    </w:p>
    <w:p w14:paraId="6C777719" w14:textId="77777777" w:rsidR="00325E74" w:rsidRPr="00760465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 xml:space="preserve">Podpora standardů </w:t>
      </w:r>
      <w:proofErr w:type="spellStart"/>
      <w:r w:rsidRPr="00922314">
        <w:rPr>
          <w:rFonts w:asciiTheme="minorHAnsi" w:hAnsiTheme="minorHAnsi" w:cstheme="minorHAnsi"/>
          <w:sz w:val="22"/>
          <w:szCs w:val="22"/>
        </w:rPr>
        <w:t>WebRTC</w:t>
      </w:r>
      <w:proofErr w:type="spellEnd"/>
      <w:r w:rsidRPr="00922314">
        <w:rPr>
          <w:rFonts w:asciiTheme="minorHAnsi" w:hAnsiTheme="minorHAnsi" w:cstheme="minorHAnsi"/>
          <w:sz w:val="22"/>
          <w:szCs w:val="22"/>
        </w:rPr>
        <w:t>, připojení prostřednictvím webového prohlížeče.</w:t>
      </w:r>
    </w:p>
    <w:p w14:paraId="3E20E335" w14:textId="77777777" w:rsidR="00325E74" w:rsidRPr="00760465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2314">
        <w:rPr>
          <w:rFonts w:asciiTheme="minorHAnsi" w:hAnsiTheme="minorHAnsi" w:cstheme="minorHAnsi"/>
          <w:sz w:val="22"/>
          <w:szCs w:val="22"/>
        </w:rPr>
        <w:t xml:space="preserve">Podpora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22314">
        <w:rPr>
          <w:rFonts w:asciiTheme="minorHAnsi" w:hAnsiTheme="minorHAnsi" w:cstheme="minorHAnsi"/>
          <w:sz w:val="22"/>
          <w:szCs w:val="22"/>
        </w:rPr>
        <w:t xml:space="preserve"> konferenc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22314">
        <w:rPr>
          <w:rFonts w:asciiTheme="minorHAnsi" w:hAnsiTheme="minorHAnsi" w:cstheme="minorHAnsi"/>
          <w:sz w:val="22"/>
          <w:szCs w:val="22"/>
        </w:rPr>
        <w:t xml:space="preserve"> o celkové </w:t>
      </w:r>
      <w:r w:rsidRPr="00F53DD0">
        <w:rPr>
          <w:rFonts w:asciiTheme="minorHAnsi" w:hAnsiTheme="minorHAnsi" w:cstheme="minorHAnsi"/>
          <w:sz w:val="22"/>
          <w:szCs w:val="22"/>
        </w:rPr>
        <w:t xml:space="preserve">hodnotě </w:t>
      </w:r>
      <w:r>
        <w:rPr>
          <w:rFonts w:asciiTheme="minorHAnsi" w:hAnsiTheme="minorHAnsi" w:cstheme="minorHAnsi"/>
          <w:sz w:val="22"/>
          <w:szCs w:val="22"/>
        </w:rPr>
        <w:t>minimálně 40</w:t>
      </w:r>
      <w:r w:rsidRPr="00F53DD0">
        <w:rPr>
          <w:rFonts w:asciiTheme="minorHAnsi" w:hAnsiTheme="minorHAnsi" w:cstheme="minorHAnsi"/>
          <w:sz w:val="22"/>
          <w:szCs w:val="22"/>
        </w:rPr>
        <w:t xml:space="preserve"> HD účastníků.</w:t>
      </w:r>
      <w:r>
        <w:rPr>
          <w:rFonts w:asciiTheme="minorHAnsi" w:hAnsiTheme="minorHAnsi" w:cstheme="minorHAnsi"/>
          <w:sz w:val="22"/>
          <w:szCs w:val="22"/>
        </w:rPr>
        <w:t xml:space="preserve"> (Možnost spouštět videokonference bez nutnosti připojení organizátora, či jiné externí osoby)</w:t>
      </w:r>
    </w:p>
    <w:p w14:paraId="0EB93C1A" w14:textId="77777777" w:rsidR="00325E74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Podpora až 35 uživatelů s funkcí plánování meetingů pod svou vlastní identitou</w:t>
      </w:r>
    </w:p>
    <w:p w14:paraId="73436EBC" w14:textId="77777777" w:rsidR="00325E74" w:rsidRPr="00E46D25" w:rsidRDefault="00325E74" w:rsidP="007B2DE2">
      <w:pPr>
        <w:ind w:left="0" w:firstLine="0"/>
        <w:rPr>
          <w:rFonts w:asciiTheme="minorHAnsi" w:hAnsiTheme="minorHAnsi" w:cstheme="minorHAnsi"/>
        </w:rPr>
      </w:pPr>
    </w:p>
    <w:p w14:paraId="7CFC1276" w14:textId="77777777" w:rsidR="00325E74" w:rsidRPr="00CE1860" w:rsidRDefault="00325E74" w:rsidP="007B2DE2">
      <w:pPr>
        <w:spacing w:after="120"/>
        <w:ind w:left="210" w:firstLine="0"/>
        <w:rPr>
          <w:rFonts w:asciiTheme="minorHAnsi" w:hAnsiTheme="minorHAnsi" w:cstheme="minorHAnsi"/>
          <w:b/>
          <w:bCs/>
          <w:color w:val="365F91"/>
        </w:rPr>
      </w:pPr>
    </w:p>
    <w:p w14:paraId="6D5D35EC" w14:textId="77777777" w:rsidR="00325E74" w:rsidRDefault="00325E74" w:rsidP="007B2DE2">
      <w:pPr>
        <w:pStyle w:val="Nadpis1"/>
      </w:pPr>
      <w:bookmarkStart w:id="7" w:name="_Toc53148479"/>
      <w:r w:rsidRPr="00F22A79">
        <w:lastRenderedPageBreak/>
        <w:t>Minimální požadavky na řešení infrastruktury</w:t>
      </w:r>
      <w:bookmarkEnd w:id="7"/>
    </w:p>
    <w:p w14:paraId="2BEA7EB8" w14:textId="77777777" w:rsidR="00325E74" w:rsidRPr="006E53FB" w:rsidRDefault="00325E74" w:rsidP="007B2DE2"/>
    <w:p w14:paraId="5E0C268B" w14:textId="77777777" w:rsidR="00325E74" w:rsidRDefault="00325E74" w:rsidP="007B2DE2">
      <w:pPr>
        <w:rPr>
          <w:rFonts w:asciiTheme="minorHAnsi" w:hAnsiTheme="minorHAnsi" w:cstheme="minorHAnsi"/>
        </w:rPr>
      </w:pPr>
      <w:r w:rsidRPr="00CA05CA">
        <w:rPr>
          <w:rFonts w:asciiTheme="minorHAnsi" w:hAnsiTheme="minorHAnsi" w:cstheme="minorHAnsi"/>
        </w:rPr>
        <w:t xml:space="preserve">Kapacita zajišťující komunikaci v minimálně </w:t>
      </w:r>
      <w:r>
        <w:rPr>
          <w:rFonts w:asciiTheme="minorHAnsi" w:hAnsiTheme="minorHAnsi" w:cstheme="minorHAnsi"/>
        </w:rPr>
        <w:t>jedné</w:t>
      </w:r>
      <w:r w:rsidRPr="00CA05CA">
        <w:rPr>
          <w:rFonts w:asciiTheme="minorHAnsi" w:hAnsiTheme="minorHAnsi" w:cstheme="minorHAnsi"/>
        </w:rPr>
        <w:t xml:space="preserve"> aktivně provozovan</w:t>
      </w:r>
      <w:r>
        <w:rPr>
          <w:rFonts w:asciiTheme="minorHAnsi" w:hAnsiTheme="minorHAnsi" w:cstheme="minorHAnsi"/>
        </w:rPr>
        <w:t>é</w:t>
      </w:r>
      <w:r w:rsidRPr="00CA05CA">
        <w:rPr>
          <w:rFonts w:asciiTheme="minorHAnsi" w:hAnsiTheme="minorHAnsi" w:cstheme="minorHAnsi"/>
        </w:rPr>
        <w:t xml:space="preserve"> virtuální místnost</w:t>
      </w:r>
      <w:r>
        <w:rPr>
          <w:rFonts w:asciiTheme="minorHAnsi" w:hAnsiTheme="minorHAnsi" w:cstheme="minorHAnsi"/>
        </w:rPr>
        <w:t>i</w:t>
      </w:r>
      <w:r w:rsidRPr="00CA05CA">
        <w:rPr>
          <w:rFonts w:asciiTheme="minorHAnsi" w:hAnsiTheme="minorHAnsi" w:cstheme="minorHAnsi"/>
        </w:rPr>
        <w:t xml:space="preserve"> (</w:t>
      </w:r>
      <w:proofErr w:type="spellStart"/>
      <w:r w:rsidRPr="00CA05CA">
        <w:rPr>
          <w:rFonts w:asciiTheme="minorHAnsi" w:hAnsiTheme="minorHAnsi" w:cstheme="minorHAnsi"/>
        </w:rPr>
        <w:t>Shared</w:t>
      </w:r>
      <w:proofErr w:type="spellEnd"/>
      <w:r w:rsidRPr="00CA05CA">
        <w:rPr>
          <w:rFonts w:asciiTheme="minorHAnsi" w:hAnsiTheme="minorHAnsi" w:cstheme="minorHAnsi"/>
        </w:rPr>
        <w:t xml:space="preserve"> </w:t>
      </w:r>
      <w:proofErr w:type="spellStart"/>
      <w:r w:rsidRPr="00CA05CA">
        <w:rPr>
          <w:rFonts w:asciiTheme="minorHAnsi" w:hAnsiTheme="minorHAnsi" w:cstheme="minorHAnsi"/>
        </w:rPr>
        <w:t>Spaces</w:t>
      </w:r>
      <w:proofErr w:type="spellEnd"/>
      <w:r w:rsidRPr="00CA05CA">
        <w:rPr>
          <w:rFonts w:asciiTheme="minorHAnsi" w:hAnsiTheme="minorHAnsi" w:cstheme="minorHAnsi"/>
        </w:rPr>
        <w:t>) a v minimálně 35 personálních souběžných aktivně provozovaných virtuálních místnostech (</w:t>
      </w:r>
      <w:proofErr w:type="spellStart"/>
      <w:r w:rsidRPr="00CA05CA">
        <w:rPr>
          <w:rFonts w:asciiTheme="minorHAnsi" w:hAnsiTheme="minorHAnsi" w:cstheme="minorHAnsi"/>
        </w:rPr>
        <w:t>Personal</w:t>
      </w:r>
      <w:proofErr w:type="spellEnd"/>
      <w:r w:rsidRPr="00CA05CA">
        <w:rPr>
          <w:rFonts w:asciiTheme="minorHAnsi" w:hAnsiTheme="minorHAnsi" w:cstheme="minorHAnsi"/>
        </w:rPr>
        <w:t xml:space="preserve"> </w:t>
      </w:r>
      <w:proofErr w:type="spellStart"/>
      <w:r w:rsidRPr="00CA05CA">
        <w:rPr>
          <w:rFonts w:asciiTheme="minorHAnsi" w:hAnsiTheme="minorHAnsi" w:cstheme="minorHAnsi"/>
        </w:rPr>
        <w:t>Spaces</w:t>
      </w:r>
      <w:proofErr w:type="spellEnd"/>
      <w:r w:rsidRPr="00CA05CA">
        <w:rPr>
          <w:rFonts w:asciiTheme="minorHAnsi" w:hAnsiTheme="minorHAnsi" w:cstheme="minorHAnsi"/>
        </w:rPr>
        <w:t xml:space="preserve">). Možnost navýšení kapacity řešení (počet současně probíhajících </w:t>
      </w:r>
      <w:proofErr w:type="spellStart"/>
      <w:r w:rsidRPr="00CA05CA">
        <w:rPr>
          <w:rFonts w:asciiTheme="minorHAnsi" w:hAnsiTheme="minorHAnsi" w:cstheme="minorHAnsi"/>
        </w:rPr>
        <w:t>multikonferencí</w:t>
      </w:r>
      <w:proofErr w:type="spellEnd"/>
      <w:r w:rsidRPr="00CA05CA">
        <w:rPr>
          <w:rFonts w:asciiTheme="minorHAnsi" w:hAnsiTheme="minorHAnsi" w:cstheme="minorHAnsi"/>
        </w:rPr>
        <w:t xml:space="preserve"> ve sdílených či personálních virtuálních místnostech, celkový počet spojení) dle budoucí potřeby přikoupením licencí se zajištěním plné kompatibility řešení.</w:t>
      </w:r>
    </w:p>
    <w:p w14:paraId="132F8A33" w14:textId="77777777" w:rsidR="00325E74" w:rsidRPr="00CA05CA" w:rsidRDefault="00325E74" w:rsidP="007B2DE2">
      <w:pPr>
        <w:rPr>
          <w:rFonts w:asciiTheme="minorHAnsi" w:hAnsiTheme="minorHAnsi" w:cstheme="minorHAnsi"/>
        </w:rPr>
      </w:pPr>
    </w:p>
    <w:p w14:paraId="21D588FE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API pro nastavení, ovládání hovorů a informací o aktuálním stavu</w:t>
      </w:r>
    </w:p>
    <w:p w14:paraId="17F5302C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redundantního nasazení řešení</w:t>
      </w:r>
    </w:p>
    <w:p w14:paraId="3445CECB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geografické distribuce hovorů umožňující redukci šířky pásma napříč WAN sítěmi</w:t>
      </w:r>
    </w:p>
    <w:p w14:paraId="751B0E2C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Škálovatelnost připojení více účastníků v jedné konferenční místnosti</w:t>
      </w:r>
    </w:p>
    <w:p w14:paraId="29FB9251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Schopnost dynamicky reagovat na proměnlivé síťové podmínky separátně u jednotlivých připojených účastníků pomocí technologií snižování/zvyšování využitelné šířky pásma a obnovy ztrátovosti paketů</w:t>
      </w:r>
    </w:p>
    <w:p w14:paraId="3328E94B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Individuální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transcoding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hlavního i duálního kanálu pro jednotlivé účastníky</w:t>
      </w:r>
    </w:p>
    <w:p w14:paraId="438AC11B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Přehled připojených účastníků v konferenci, připojení / odpojení účastníků,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mute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unmute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účastníků, uzamčení konference, statistika hovoru připojených účastníků, CDR log</w:t>
      </w:r>
    </w:p>
    <w:p w14:paraId="3D1F0100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Možnost zakládat neomezený počet personálních místností pro každého uživatele s možností připojení všech uživatelů až do celkové kapacity řešení </w:t>
      </w:r>
    </w:p>
    <w:p w14:paraId="69762ED2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Možnost zakládat sdílené virtuální místnosti pro každou potřebu s možností připojení všech uživatelů až do celkové kapacity HW zdrojů využívaných pro zajištění provozu řešení</w:t>
      </w:r>
    </w:p>
    <w:p w14:paraId="75EF159D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Možnost virtuální recepce s připravenými IVR službami</w:t>
      </w:r>
    </w:p>
    <w:p w14:paraId="701D1461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Distribuční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Gateway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umožňující propojení mezi podporovanými protokoly včetně podpory DTMF</w:t>
      </w:r>
    </w:p>
    <w:p w14:paraId="26A3C041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zaheslován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CA05CA">
        <w:rPr>
          <w:rFonts w:asciiTheme="minorHAnsi" w:hAnsiTheme="minorHAnsi" w:cstheme="minorHAnsi"/>
          <w:sz w:val="22"/>
          <w:szCs w:val="22"/>
        </w:rPr>
        <w:t xml:space="preserve">konference pomocí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PINu</w:t>
      </w:r>
      <w:proofErr w:type="spellEnd"/>
    </w:p>
    <w:p w14:paraId="7313508E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Možnost uzamčení konference znemožňující připojení dalších účastníků</w:t>
      </w:r>
    </w:p>
    <w:p w14:paraId="47065AB6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Call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Policy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pomocí externího systému</w:t>
      </w:r>
    </w:p>
    <w:p w14:paraId="59D2CD29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komunikace prostřednictvím SIP, H.323, MS Skype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Business,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WebRTC</w:t>
      </w:r>
      <w:proofErr w:type="spellEnd"/>
    </w:p>
    <w:p w14:paraId="07157DF5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automatického vytáčení účastníků s přidáním DTMF signálu pro připojení na zaheslované video/audio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bridge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>.</w:t>
      </w:r>
    </w:p>
    <w:p w14:paraId="5E8DCE3C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IPv4 a IPv6</w:t>
      </w:r>
    </w:p>
    <w:p w14:paraId="012DB06A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(tag management, signalizace, media)</w:t>
      </w:r>
    </w:p>
    <w:p w14:paraId="50D5731A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FEC (Forward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Error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Correction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>)</w:t>
      </w:r>
    </w:p>
    <w:p w14:paraId="27AD86D0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Statického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NATu</w:t>
      </w:r>
      <w:proofErr w:type="spellEnd"/>
    </w:p>
    <w:p w14:paraId="47199AC0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Možnost nastavení Static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routes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pravidel</w:t>
      </w:r>
    </w:p>
    <w:p w14:paraId="3C5292A3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Integrace s AD / LDAP pro ověřování administrátorských účtů</w:t>
      </w:r>
    </w:p>
    <w:p w14:paraId="46D05DB7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SNMPv2c a SNMPv3</w:t>
      </w:r>
    </w:p>
    <w:p w14:paraId="42A821E7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autentizovaných SIP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trunků</w:t>
      </w:r>
      <w:proofErr w:type="spellEnd"/>
    </w:p>
    <w:p w14:paraId="47296E63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Nastavitelná možnost přístupových rolí uživatelů do managementu řešení</w:t>
      </w:r>
    </w:p>
    <w:p w14:paraId="1B7CB325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audio kodeků G.711(a/u), G.722, G.722.1, G.722.1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Annex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C, G.</w:t>
      </w:r>
      <w:proofErr w:type="gramStart"/>
      <w:r w:rsidRPr="00CA05CA">
        <w:rPr>
          <w:rFonts w:asciiTheme="minorHAnsi" w:hAnsiTheme="minorHAnsi" w:cstheme="minorHAnsi"/>
          <w:sz w:val="22"/>
          <w:szCs w:val="22"/>
        </w:rPr>
        <w:t>729A</w:t>
      </w:r>
      <w:proofErr w:type="gramEnd"/>
      <w:r w:rsidRPr="00CA05CA">
        <w:rPr>
          <w:rFonts w:asciiTheme="minorHAnsi" w:hAnsiTheme="minorHAnsi" w:cstheme="minorHAnsi"/>
          <w:sz w:val="22"/>
          <w:szCs w:val="22"/>
        </w:rPr>
        <w:t xml:space="preserve">, Opus, AAC-LD,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Speex</w:t>
      </w:r>
      <w:proofErr w:type="spellEnd"/>
    </w:p>
    <w:p w14:paraId="19F14A7E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video kodeků H.263, H.263++, H.264 AVC, H.264 SVC, VP8,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RTVideo</w:t>
      </w:r>
      <w:proofErr w:type="spellEnd"/>
    </w:p>
    <w:p w14:paraId="58C37227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protokolů pro sdílení prezentací H.239 (H.323), BFCP (SIP), RDP (MS Lync / Skype)</w:t>
      </w:r>
    </w:p>
    <w:p w14:paraId="5CFF2CB7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Podpora připojení účastníků na rychlostech od 8kbps (G.729 audio účastník) až do 6Mbps na účastníka</w:t>
      </w:r>
    </w:p>
    <w:p w14:paraId="44634D8F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rozlišení od QCIF do </w:t>
      </w:r>
      <w:proofErr w:type="gramStart"/>
      <w:r w:rsidRPr="00CA05CA">
        <w:rPr>
          <w:rFonts w:asciiTheme="minorHAnsi" w:hAnsiTheme="minorHAnsi" w:cstheme="minorHAnsi"/>
          <w:sz w:val="22"/>
          <w:szCs w:val="22"/>
        </w:rPr>
        <w:t>1080p</w:t>
      </w:r>
      <w:proofErr w:type="gramEnd"/>
      <w:r w:rsidRPr="00CA05CA">
        <w:rPr>
          <w:rFonts w:asciiTheme="minorHAnsi" w:hAnsiTheme="minorHAnsi" w:cstheme="minorHAnsi"/>
          <w:sz w:val="22"/>
          <w:szCs w:val="22"/>
        </w:rPr>
        <w:t>, podpora formátů 4:3 a 16:9, podpora 60fps</w:t>
      </w:r>
    </w:p>
    <w:p w14:paraId="30A34210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Automatic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Control</w:t>
      </w:r>
      <w:proofErr w:type="spellEnd"/>
    </w:p>
    <w:p w14:paraId="022A34DC" w14:textId="77777777" w:rsidR="00325E74" w:rsidRPr="00CA05CA" w:rsidRDefault="00325E74" w:rsidP="007B2D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Podpora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enkrypce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AES (128b klíč), TLS a SRTP</w:t>
      </w:r>
    </w:p>
    <w:p w14:paraId="283A959E" w14:textId="77777777" w:rsidR="00325E74" w:rsidRDefault="00325E74" w:rsidP="007B2DE2">
      <w:pPr>
        <w:pStyle w:val="Nadpis1"/>
      </w:pPr>
      <w:bookmarkStart w:id="8" w:name="_Toc53148480"/>
      <w:r>
        <w:lastRenderedPageBreak/>
        <w:t>Komunikační brána (</w:t>
      </w:r>
      <w:proofErr w:type="spellStart"/>
      <w:r>
        <w:t>VoIP</w:t>
      </w:r>
      <w:proofErr w:type="spellEnd"/>
      <w:r>
        <w:t xml:space="preserve"> hlasová/video brána)</w:t>
      </w:r>
      <w:bookmarkEnd w:id="8"/>
    </w:p>
    <w:p w14:paraId="6A8AA2FE" w14:textId="77777777" w:rsidR="00325E74" w:rsidRDefault="00325E74" w:rsidP="007B2DE2">
      <w:pPr>
        <w:spacing w:after="160" w:line="259" w:lineRule="auto"/>
        <w:ind w:left="0" w:right="0" w:firstLine="0"/>
      </w:pPr>
    </w:p>
    <w:p w14:paraId="639BDDE3" w14:textId="77777777" w:rsidR="00325E74" w:rsidRDefault="00325E74" w:rsidP="007B2DE2">
      <w:pPr>
        <w:spacing w:after="160" w:line="259" w:lineRule="auto"/>
        <w:ind w:left="0" w:right="0" w:firstLine="0"/>
      </w:pPr>
      <w:r>
        <w:t>Komunikační brána musí mít modulární architekturu s možností přidávat hlasové moduly rozhraní dle budoucí potřeby.</w:t>
      </w:r>
    </w:p>
    <w:p w14:paraId="6D9C31B7" w14:textId="77777777" w:rsidR="00325E74" w:rsidRDefault="00325E74" w:rsidP="007B2DE2">
      <w:pPr>
        <w:spacing w:after="160" w:line="259" w:lineRule="auto"/>
        <w:ind w:left="0" w:right="0" w:firstLine="0"/>
      </w:pPr>
      <w:r>
        <w:t xml:space="preserve">Komunikační brána musí podporovat rozhraní ISDN PRI a ISDN BRI, včetně možnosti vytvoření konferenčního mostu s podporou kodeků G.722, G.711, G.729. Vyžadována je rovněž podpora </w:t>
      </w:r>
      <w:proofErr w:type="spellStart"/>
      <w:r>
        <w:t>VoIP</w:t>
      </w:r>
      <w:proofErr w:type="spellEnd"/>
      <w:r>
        <w:t xml:space="preserve"> signalizačních protokolů H.323v4 a SIPv2.</w:t>
      </w:r>
    </w:p>
    <w:p w14:paraId="1C2C3B09" w14:textId="77777777" w:rsidR="00325E74" w:rsidRDefault="00325E74" w:rsidP="007B2DE2">
      <w:pPr>
        <w:spacing w:after="160" w:line="259" w:lineRule="auto"/>
        <w:ind w:left="0" w:right="0" w:firstLine="0"/>
      </w:pPr>
      <w:r>
        <w:t xml:space="preserve">Komunikační brána musí podporovat nástroje pro on-line měření kvality přenosové infrastruktury z pohledu </w:t>
      </w:r>
      <w:proofErr w:type="spellStart"/>
      <w:r>
        <w:t>VoIP</w:t>
      </w:r>
      <w:proofErr w:type="spellEnd"/>
      <w:r>
        <w:t xml:space="preserve"> za pomoci simulace </w:t>
      </w:r>
      <w:proofErr w:type="spellStart"/>
      <w:r>
        <w:t>VoIP</w:t>
      </w:r>
      <w:proofErr w:type="spellEnd"/>
      <w:r>
        <w:t xml:space="preserve"> provozu. </w:t>
      </w:r>
    </w:p>
    <w:p w14:paraId="67E17DFE" w14:textId="77777777" w:rsidR="00325E74" w:rsidRDefault="00325E74" w:rsidP="007B2DE2">
      <w:pPr>
        <w:spacing w:after="160" w:line="259" w:lineRule="auto"/>
        <w:ind w:left="0" w:right="0" w:firstLine="0"/>
      </w:pPr>
      <w:r>
        <w:t>Komunikační brána musí zajistit plnou podporu IP adresace a směrovacích protokolů pro Ipv4 a Ipv6 s minimálními požadavky na směrovací protokoly OSPFv2/v3, BGPv4 a MP-BGP, PIM SM, PIM SSM, HSRP nebo VRRP pro Ipv4 i Ipv6.</w:t>
      </w:r>
    </w:p>
    <w:p w14:paraId="50AB5C2E" w14:textId="77777777" w:rsidR="00325E74" w:rsidRDefault="00325E74" w:rsidP="007B2DE2">
      <w:pPr>
        <w:spacing w:after="160" w:line="259" w:lineRule="auto"/>
        <w:ind w:left="0" w:right="0" w:firstLine="0"/>
      </w:pPr>
      <w:r>
        <w:t xml:space="preserve">Komunikační brána musí podporovat technologii </w:t>
      </w:r>
      <w:proofErr w:type="spellStart"/>
      <w:r>
        <w:t>DualStack</w:t>
      </w:r>
      <w:proofErr w:type="spellEnd"/>
      <w:r>
        <w:t xml:space="preserve"> (Ipv4 a Ipv6), musí mít plnou podporu Ipv6 služeb jako jsou DNS, Telnet/SSH, DHCP, </w:t>
      </w:r>
      <w:proofErr w:type="spellStart"/>
      <w:r>
        <w:t>Multicast</w:t>
      </w:r>
      <w:proofErr w:type="spellEnd"/>
      <w:r>
        <w:t xml:space="preserve"> a </w:t>
      </w:r>
      <w:proofErr w:type="spellStart"/>
      <w:r>
        <w:t>QoS</w:t>
      </w:r>
      <w:proofErr w:type="spellEnd"/>
      <w:r>
        <w:t xml:space="preserve"> a musí disponovat certifikátem Ipv6 funkčnosti a interoperability od nezávislé testovací organizace, jako je certifikát Ipv6 </w:t>
      </w:r>
      <w:proofErr w:type="spellStart"/>
      <w:r>
        <w:t>Ready</w:t>
      </w:r>
      <w:proofErr w:type="spellEnd"/>
      <w:r>
        <w:t xml:space="preserve"> Logo </w:t>
      </w:r>
      <w:proofErr w:type="spellStart"/>
      <w:r>
        <w:t>Phase</w:t>
      </w:r>
      <w:proofErr w:type="spellEnd"/>
      <w:r>
        <w:t xml:space="preserve"> II, nebo ekvivalentní.</w:t>
      </w:r>
    </w:p>
    <w:p w14:paraId="58FC218F" w14:textId="77777777" w:rsidR="00325E74" w:rsidRDefault="00325E74" w:rsidP="007B2DE2">
      <w:pPr>
        <w:spacing w:after="160" w:line="259" w:lineRule="auto"/>
        <w:ind w:left="0" w:right="0" w:firstLine="0"/>
      </w:pPr>
      <w:r>
        <w:t>Přesná požadovaná funkční specifikace komunikační brány pro centrální integrační platformu je uvedena v tabulce:</w:t>
      </w:r>
    </w:p>
    <w:p w14:paraId="5BA0446A" w14:textId="4EDBF50D" w:rsidR="00325E74" w:rsidRDefault="00325E74" w:rsidP="007B2DE2">
      <w:pPr>
        <w:spacing w:after="160" w:line="259" w:lineRule="auto"/>
        <w:ind w:left="0" w:right="0" w:firstLine="0"/>
        <w:rPr>
          <w:b/>
          <w:bCs/>
        </w:rPr>
      </w:pPr>
    </w:p>
    <w:p w14:paraId="7C4669E8" w14:textId="7955B46D" w:rsidR="00AA6C45" w:rsidRDefault="00AA6C45" w:rsidP="007B2DE2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Požadovaná funkční specifikace komunikační brány</w:t>
      </w:r>
    </w:p>
    <w:p w14:paraId="67F7C543" w14:textId="0CA9999C" w:rsidR="00AA6C45" w:rsidRPr="00AA6C45" w:rsidRDefault="00AA6C45" w:rsidP="007B2DE2">
      <w:pPr>
        <w:spacing w:after="160" w:line="259" w:lineRule="auto"/>
        <w:ind w:left="0" w:right="0" w:firstLine="0"/>
        <w:rPr>
          <w:b/>
          <w:bCs/>
          <w:i/>
          <w:i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>legenda: uchazečem nabízené plnění musí splňovat všechny požadavky uvedené v tabulce)</w:t>
      </w:r>
    </w:p>
    <w:p w14:paraId="2E6D6BB4" w14:textId="77777777" w:rsidR="00325E74" w:rsidRDefault="00325E74" w:rsidP="00325E74">
      <w:pPr>
        <w:spacing w:after="160" w:line="259" w:lineRule="auto"/>
        <w:ind w:left="0" w:right="0" w:firstLine="0"/>
        <w:jc w:val="left"/>
        <w:rPr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15"/>
        <w:gridCol w:w="2375"/>
      </w:tblGrid>
      <w:tr w:rsidR="00325E74" w:rsidRPr="00BA78BE" w14:paraId="048CADA2" w14:textId="77777777" w:rsidTr="007B2DE2">
        <w:trPr>
          <w:cantSplit/>
          <w:tblHeader/>
        </w:trPr>
        <w:tc>
          <w:tcPr>
            <w:tcW w:w="4395" w:type="dxa"/>
            <w:shd w:val="clear" w:color="auto" w:fill="BFBFBF"/>
          </w:tcPr>
          <w:p w14:paraId="36C9A006" w14:textId="77777777" w:rsidR="00325E74" w:rsidRPr="00CC2D58" w:rsidRDefault="00325E74" w:rsidP="007B2DE2">
            <w:pPr>
              <w:spacing w:after="0" w:line="259" w:lineRule="auto"/>
              <w:ind w:left="5"/>
              <w:jc w:val="center"/>
              <w:rPr>
                <w:rFonts w:asciiTheme="minorHAnsi" w:eastAsiaTheme="minorEastAsia" w:hAnsiTheme="minorHAnsi" w:cstheme="minorBidi"/>
                <w:b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b/>
                <w:sz w:val="20"/>
              </w:rPr>
              <w:t>Požadovaná funkcionalita/vlastnost</w:t>
            </w:r>
          </w:p>
        </w:tc>
        <w:tc>
          <w:tcPr>
            <w:tcW w:w="2615" w:type="dxa"/>
            <w:shd w:val="clear" w:color="auto" w:fill="BFBFBF"/>
          </w:tcPr>
          <w:p w14:paraId="700CD287" w14:textId="77777777" w:rsidR="00325E74" w:rsidRPr="00CC2D58" w:rsidRDefault="00325E74" w:rsidP="007B2DE2">
            <w:pPr>
              <w:spacing w:after="0" w:line="259" w:lineRule="auto"/>
              <w:ind w:left="5"/>
              <w:jc w:val="center"/>
              <w:rPr>
                <w:rFonts w:asciiTheme="minorHAnsi" w:eastAsiaTheme="minorEastAsia" w:hAnsiTheme="minorHAnsi" w:cstheme="minorBidi"/>
                <w:b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b/>
                <w:sz w:val="20"/>
              </w:rPr>
              <w:t>Způsob splnění požadované funkcionality/vlastnosti</w:t>
            </w:r>
          </w:p>
        </w:tc>
        <w:tc>
          <w:tcPr>
            <w:tcW w:w="2375" w:type="dxa"/>
            <w:shd w:val="clear" w:color="auto" w:fill="BFBFBF"/>
          </w:tcPr>
          <w:p w14:paraId="36F588C5" w14:textId="77777777" w:rsidR="00325E74" w:rsidRPr="00CC2D58" w:rsidRDefault="00325E74" w:rsidP="007B2DE2">
            <w:pPr>
              <w:spacing w:after="0" w:line="259" w:lineRule="auto"/>
              <w:ind w:left="5"/>
              <w:jc w:val="center"/>
              <w:rPr>
                <w:rFonts w:asciiTheme="minorHAnsi" w:eastAsiaTheme="minorEastAsia" w:hAnsiTheme="minorHAnsi" w:cstheme="minorBidi"/>
                <w:b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b/>
                <w:sz w:val="20"/>
              </w:rPr>
              <w:t>Doplní dodavatel dle nabízeného zařízení</w:t>
            </w:r>
          </w:p>
        </w:tc>
      </w:tr>
      <w:tr w:rsidR="00325E74" w:rsidRPr="00BA78BE" w14:paraId="745C8BAB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23EDDEF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Výrobce zařízení</w:t>
            </w:r>
          </w:p>
        </w:tc>
        <w:tc>
          <w:tcPr>
            <w:tcW w:w="2615" w:type="dxa"/>
            <w:shd w:val="clear" w:color="auto" w:fill="auto"/>
          </w:tcPr>
          <w:p w14:paraId="778E9B2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Uvedení výrobce</w:t>
            </w:r>
          </w:p>
        </w:tc>
        <w:tc>
          <w:tcPr>
            <w:tcW w:w="2375" w:type="dxa"/>
            <w:shd w:val="clear" w:color="auto" w:fill="auto"/>
          </w:tcPr>
          <w:p w14:paraId="34E29AE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1DB3F629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1D67087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Produktové číslo (typ) nabízeného zařízení (v případě, že je zařízené popsáno více produktovými čísly, uvede dodavatel hlavní produktové číslo nabízeného zařízení)</w:t>
            </w:r>
          </w:p>
        </w:tc>
        <w:tc>
          <w:tcPr>
            <w:tcW w:w="2615" w:type="dxa"/>
            <w:shd w:val="clear" w:color="auto" w:fill="auto"/>
          </w:tcPr>
          <w:p w14:paraId="14BCCC6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Uvedení produktového čísla</w:t>
            </w:r>
          </w:p>
        </w:tc>
        <w:tc>
          <w:tcPr>
            <w:tcW w:w="2375" w:type="dxa"/>
            <w:shd w:val="clear" w:color="auto" w:fill="auto"/>
          </w:tcPr>
          <w:p w14:paraId="29FB032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130CD721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1BF74F5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Odkaz na www stránky výrobce zařízení, kde je k dispozici detailní technická specifikace (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DataSheet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) v českém nebo anglickém jazyce </w:t>
            </w:r>
          </w:p>
        </w:tc>
        <w:tc>
          <w:tcPr>
            <w:tcW w:w="2615" w:type="dxa"/>
            <w:shd w:val="clear" w:color="auto" w:fill="auto"/>
          </w:tcPr>
          <w:p w14:paraId="79AAE11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Uvedení požadovaného odkazu</w:t>
            </w:r>
          </w:p>
        </w:tc>
        <w:tc>
          <w:tcPr>
            <w:tcW w:w="2375" w:type="dxa"/>
            <w:shd w:val="clear" w:color="auto" w:fill="auto"/>
          </w:tcPr>
          <w:p w14:paraId="2B8B1E0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06277234" w14:textId="77777777" w:rsidTr="007B2DE2">
        <w:trPr>
          <w:cantSplit/>
        </w:trPr>
        <w:tc>
          <w:tcPr>
            <w:tcW w:w="4395" w:type="dxa"/>
            <w:shd w:val="clear" w:color="auto" w:fill="auto"/>
            <w:vAlign w:val="bottom"/>
          </w:tcPr>
          <w:p w14:paraId="6EA5D0D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Typ zařízení</w:t>
            </w:r>
          </w:p>
        </w:tc>
        <w:tc>
          <w:tcPr>
            <w:tcW w:w="2615" w:type="dxa"/>
            <w:shd w:val="clear" w:color="auto" w:fill="auto"/>
            <w:vAlign w:val="bottom"/>
          </w:tcPr>
          <w:p w14:paraId="6A4AEA9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VoIP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hlasová brána</w:t>
            </w:r>
          </w:p>
        </w:tc>
        <w:tc>
          <w:tcPr>
            <w:tcW w:w="2375" w:type="dxa"/>
            <w:shd w:val="clear" w:color="auto" w:fill="auto"/>
          </w:tcPr>
          <w:p w14:paraId="57161B7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5D3CE13C" w14:textId="77777777" w:rsidTr="007B2DE2">
        <w:trPr>
          <w:cantSplit/>
        </w:trPr>
        <w:tc>
          <w:tcPr>
            <w:tcW w:w="4395" w:type="dxa"/>
            <w:shd w:val="clear" w:color="auto" w:fill="auto"/>
            <w:vAlign w:val="bottom"/>
          </w:tcPr>
          <w:p w14:paraId="3254F88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Formát zařízení</w:t>
            </w:r>
          </w:p>
        </w:tc>
        <w:tc>
          <w:tcPr>
            <w:tcW w:w="2615" w:type="dxa"/>
            <w:shd w:val="clear" w:color="auto" w:fill="auto"/>
            <w:vAlign w:val="bottom"/>
          </w:tcPr>
          <w:p w14:paraId="00D013E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Modulární</w:t>
            </w:r>
          </w:p>
        </w:tc>
        <w:tc>
          <w:tcPr>
            <w:tcW w:w="2375" w:type="dxa"/>
            <w:shd w:val="clear" w:color="auto" w:fill="auto"/>
          </w:tcPr>
          <w:p w14:paraId="4997BD1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9721588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989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Požadovaný počet portů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GigabitEthernet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5C0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2x10/100/1000Base-TX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840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472C8E8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D36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Směrování IPv4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DD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E3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21AFFABA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319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Směrování IPv6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85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282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2D3F5155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63D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OSPFv2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11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213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012E28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FF5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BGPv4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C30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52B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DD7F5A9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746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Podpora 4 byte AS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numbers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in BGP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C7A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BA2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6E5A5238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3FC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Možnost směrování provozu dle dynamicky měřených metrik (zatížení linky, zpoždění, ztrátovost paketů,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jitter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73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F06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92AF63A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0E0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lastRenderedPageBreak/>
              <w:t>First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Hop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Redundancy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Protokol (např. VRRP, HSRP)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FAB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D01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A841A9F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D52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Policy-based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routing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podle ACL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267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3DA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1F829B90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1A8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IP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Multicast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(PIM SSM, PIM SM)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B16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EE6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4A2BE215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B01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IGMPv2, IGMPv3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295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E28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6F1DD26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0A7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uRPF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C2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69F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E669D84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1FD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DHCP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relay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63E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C5F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E97228B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D18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First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Hop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Redundancy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Protokol pro IPv6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1C8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5EB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68290D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1CF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OSPFv3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198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161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53CA89F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1C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MP BGP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62A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A8E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64D3D60A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C6C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IPv6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Multicast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(MLDv1 &amp; v2)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E90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8DC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270486E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2EE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IPv6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Multicast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(PIM SM)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062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C7A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27A2E77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7A0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IPv6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Multicast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(PIM SSM)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399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FD4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457F068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6DC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IPv6 SLA nebo ekvivalentní technologie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A64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0D3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1592CFDC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B72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uRPF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pro IPv6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BAF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7C3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ED8A25C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D80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IPv6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Tunneling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: IPv6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over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IPv4 GRE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Tunnels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6BB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504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05B7B4F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679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IPv6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over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IPv4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Multipoint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VPN nebo ekvivalentní technologie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8A6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D31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F893A54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65D5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DHCPv6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Relay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77F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310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DE65745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7F5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QoS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classification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– ACL, DSCP,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CoS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based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B3E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89B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AFCEEF1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B13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QoS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marking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- DSCP</w:t>
            </w:r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CoS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2F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ACF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9AD70B4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9FB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QoS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Shaping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and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Policing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102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AC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37DF85C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818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Class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Based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and Priority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queuing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2E8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6DE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4C7574B9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46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Rate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Limiting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7B3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822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79376E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A84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Hierarchical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QoS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D28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min. 3 úrovně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A4D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28E28731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D7C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RSVP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BEB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89C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2FB85BCD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371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Virtualizace směrovacích tabulek - např.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Virtual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Routing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and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Forwarding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(VRF)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7AD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A1B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15CB592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696B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Minimální počet oddělených (nezávislých) směrovacích tabulek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FDF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F21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64DAE98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91F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Podpora protokolů a služeb per VRF (TACACS+, VRRP nebo HSRP, SNMP,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Syslog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, NTP, PING,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VoIP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gateway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26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B30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1349D3C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C6A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ACL na rozhraní IN/OUT (včetně </w:t>
            </w:r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virtuálních - VLAN</w:t>
            </w:r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loopback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B3E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B0C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9B85C1D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9C2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Stavový firewall – Access list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CD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D39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57D0272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705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Pokročilá detekce a klasifikace jednotlivých přenášených aplikací (DPI na 7. vrstvě OSI modelu dle aplikačních signatur)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9F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CD6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5FEC3F5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7AB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Vynucení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QoS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parametrů pro takto rozpoznané aplikace a skupiny </w:t>
            </w:r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aplikací -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marking</w:t>
            </w:r>
            <w:proofErr w:type="spellEnd"/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, garance šířky pásma pro jednotlivé aplikace,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shaping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policing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E49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8FC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6401A57D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339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Měření statistik a výkonnostních charakteristik přenášených multimediálních, realtimových a aplikačních </w:t>
            </w:r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toků - využívané</w:t>
            </w:r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pásmo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154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3FA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BC68ABA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9DD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Měření statistik a výkonnostních charakteristik přenášených multimediálních, realtimových a aplikačních </w:t>
            </w:r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toků - odezvy</w:t>
            </w:r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aplikací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E3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80A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30A92E92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B8A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lastRenderedPageBreak/>
              <w:t xml:space="preserve">Měření statistik a výkonnostních charakteristik přenášených multimediálních, realtimových a aplikačních </w:t>
            </w:r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toků - počty</w:t>
            </w:r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aplikačních spojení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58D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6A0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4E227B4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533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Sběr a vyhodnocování statistik a výkonnostních charakteristik multimediálních toků: využívané pásmo, odezvy aplikací, RTP statistiky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CA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7DD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FF1210D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D74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Monitorování aplikačních toků s využitím technologie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NetFlow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325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A13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6841ECEF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F5C5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Možnost definice klíčových atributů a parametrů monitorovaných toků včetně parametrů: zdrojová/cílová IP adresa, zdrojová/cílová VLAN, TCP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flags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>, TCP sekvenční čísla, hodnota TTL, ICMP kód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5EC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0A4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7FA6F01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792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Podpora minimálně 2 různých monitorů současně (pro monitoring bezpečnosti a monitoring objemu přenesených dat)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97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55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14DE75B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51A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Export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NetFlow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dat dle formátu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NetFlow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v9 nebo IPFIX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648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950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13EFDD4A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7D6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Interní nástroje pro on-line měření kvality síťové infrastruktury, např. IP SLA nebo ekvivalentní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AF1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A51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B236A1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1E5F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Interní nástroje pro debugging procházejícího provozu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0F1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7A1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814764B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35F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SSHv2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2CA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DA7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7ABE8204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19A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CLI rozhraní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DFA0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F3A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C3FD74E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DBA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SNMPv2/v3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380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C5E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05273FFB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A182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TACACS+ nebo RADIUS klient pro AAA (autentizace, autorizace,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accounting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BE5D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A9DB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6B7702" w14:paraId="542093C3" w14:textId="77777777" w:rsidTr="007B2DE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38C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NTP server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2345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221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3A1662E9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00D18FA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Protokol H.323v4</w:t>
            </w:r>
          </w:p>
        </w:tc>
        <w:tc>
          <w:tcPr>
            <w:tcW w:w="2615" w:type="dxa"/>
            <w:shd w:val="clear" w:color="auto" w:fill="auto"/>
          </w:tcPr>
          <w:p w14:paraId="028013FF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068BBE76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752A76D4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07DD4C07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Protokol SIPv2 (RFC3261 a návazné)</w:t>
            </w:r>
          </w:p>
        </w:tc>
        <w:tc>
          <w:tcPr>
            <w:tcW w:w="2615" w:type="dxa"/>
            <w:shd w:val="clear" w:color="auto" w:fill="auto"/>
          </w:tcPr>
          <w:p w14:paraId="4FBA5892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3AE4C370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6938415B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791D865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Podpora sdílení instalovaných DSP procesorů pro terminaci hlasových kanálů,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transkodování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mezi různými kodeky a realizaci konferenčních spojení</w:t>
            </w:r>
          </w:p>
        </w:tc>
        <w:tc>
          <w:tcPr>
            <w:tcW w:w="2615" w:type="dxa"/>
            <w:shd w:val="clear" w:color="auto" w:fill="auto"/>
          </w:tcPr>
          <w:p w14:paraId="7CB8BEF4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56828BC1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655A6430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2E301C8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Signalizační protokol Q.SIG (BC a GF/SS) dle standardů ECMA pro spojení s pobočkovými ústřednami Alcatel</w:t>
            </w:r>
          </w:p>
        </w:tc>
        <w:tc>
          <w:tcPr>
            <w:tcW w:w="2615" w:type="dxa"/>
            <w:shd w:val="clear" w:color="auto" w:fill="auto"/>
          </w:tcPr>
          <w:p w14:paraId="06C2F9B4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00F22AA3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701A34DA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57C26F63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Kodeky G.722 a G.711</w:t>
            </w:r>
          </w:p>
        </w:tc>
        <w:tc>
          <w:tcPr>
            <w:tcW w:w="2615" w:type="dxa"/>
            <w:shd w:val="clear" w:color="auto" w:fill="auto"/>
          </w:tcPr>
          <w:p w14:paraId="5938081F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559C8153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12A06339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386A7805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Kodek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iLBC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678B3626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62A943F1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65E86AEB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2E0B400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Kodek G.729</w:t>
            </w:r>
          </w:p>
        </w:tc>
        <w:tc>
          <w:tcPr>
            <w:tcW w:w="2615" w:type="dxa"/>
            <w:shd w:val="clear" w:color="auto" w:fill="auto"/>
          </w:tcPr>
          <w:p w14:paraId="00A4EAFF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51D7FBEC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3141EC23" w14:textId="77777777" w:rsidTr="007B2DE2">
        <w:trPr>
          <w:cantSplit/>
        </w:trPr>
        <w:tc>
          <w:tcPr>
            <w:tcW w:w="4395" w:type="dxa"/>
            <w:shd w:val="clear" w:color="auto" w:fill="auto"/>
            <w:vAlign w:val="bottom"/>
          </w:tcPr>
          <w:p w14:paraId="205AAB0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 xml:space="preserve">Podpora </w:t>
            </w:r>
            <w:r w:rsidRPr="00CC2D58">
              <w:rPr>
                <w:rFonts w:asciiTheme="minorHAnsi" w:eastAsiaTheme="minorEastAsia" w:hAnsiTheme="minorHAnsi" w:cstheme="minorBidi"/>
                <w:sz w:val="20"/>
              </w:rPr>
              <w:t>hlasových E1/PRI rozhraní</w:t>
            </w:r>
          </w:p>
        </w:tc>
        <w:tc>
          <w:tcPr>
            <w:tcW w:w="2615" w:type="dxa"/>
            <w:shd w:val="clear" w:color="auto" w:fill="auto"/>
            <w:vAlign w:val="bottom"/>
          </w:tcPr>
          <w:p w14:paraId="5160672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7A628980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79DD58C9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490CBF4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DTMF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relay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 přes </w:t>
            </w:r>
            <w:proofErr w:type="gram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IP - in</w:t>
            </w:r>
            <w:proofErr w:type="gramEnd"/>
            <w:r w:rsidRPr="00CC2D58">
              <w:rPr>
                <w:rFonts w:asciiTheme="minorHAnsi" w:eastAsiaTheme="minorEastAsia" w:hAnsiTheme="minorHAnsi" w:cstheme="minorBidi"/>
                <w:sz w:val="20"/>
              </w:rPr>
              <w:t>-band podle RFC2833</w:t>
            </w:r>
          </w:p>
        </w:tc>
        <w:tc>
          <w:tcPr>
            <w:tcW w:w="2615" w:type="dxa"/>
            <w:shd w:val="clear" w:color="auto" w:fill="auto"/>
          </w:tcPr>
          <w:p w14:paraId="0912C1FD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2FA8CD6B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7B7802C8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3BA40BD5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Možnost modifikace algoritmu zpracování signalizace (například pomocí skriptů)</w:t>
            </w:r>
          </w:p>
        </w:tc>
        <w:tc>
          <w:tcPr>
            <w:tcW w:w="2615" w:type="dxa"/>
            <w:shd w:val="clear" w:color="auto" w:fill="auto"/>
          </w:tcPr>
          <w:p w14:paraId="1F66CB1D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458ADE1E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08D6BFEE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460FA35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P</w:t>
            </w: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ropojení do externích sítí pomocí IP (SIP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trunk</w:t>
            </w:r>
            <w:proofErr w:type="spellEnd"/>
            <w:r w:rsidRPr="00CC2D58">
              <w:rPr>
                <w:rFonts w:asciiTheme="minorHAnsi" w:eastAsiaTheme="minorEastAsia" w:hAnsiTheme="minorHAnsi" w:cstheme="minorBidi"/>
                <w:sz w:val="20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60FA6E5D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14:paraId="0268C83F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1A67758E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318DB2E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Protokol RSVP</w:t>
            </w:r>
          </w:p>
        </w:tc>
        <w:tc>
          <w:tcPr>
            <w:tcW w:w="2615" w:type="dxa"/>
            <w:shd w:val="clear" w:color="auto" w:fill="auto"/>
          </w:tcPr>
          <w:p w14:paraId="2416180A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7EA4FC14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7526D889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0E158236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Podpora protokolů SRTP a TLS pro šifrovaný přenos hlasu</w:t>
            </w:r>
          </w:p>
        </w:tc>
        <w:tc>
          <w:tcPr>
            <w:tcW w:w="2615" w:type="dxa"/>
            <w:shd w:val="clear" w:color="auto" w:fill="auto"/>
          </w:tcPr>
          <w:p w14:paraId="6A30F8E1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73C8B078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3AE39895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6E4E042A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Interní nástroje pro on-line měření kvality síťové infrastruktury, např. IP SLA nebo ekvivalentní</w:t>
            </w:r>
          </w:p>
        </w:tc>
        <w:tc>
          <w:tcPr>
            <w:tcW w:w="2615" w:type="dxa"/>
            <w:shd w:val="clear" w:color="auto" w:fill="auto"/>
          </w:tcPr>
          <w:p w14:paraId="4202BDF6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7E3E6632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0B557AFF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48614EE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lastRenderedPageBreak/>
              <w:t>Interní nástroje pro debugging procházejícího provozu</w:t>
            </w:r>
          </w:p>
        </w:tc>
        <w:tc>
          <w:tcPr>
            <w:tcW w:w="2615" w:type="dxa"/>
            <w:shd w:val="clear" w:color="auto" w:fill="auto"/>
          </w:tcPr>
          <w:p w14:paraId="581C5499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51E64E44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3D89066F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695C3884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Protokol H.323v4</w:t>
            </w:r>
          </w:p>
        </w:tc>
        <w:tc>
          <w:tcPr>
            <w:tcW w:w="2615" w:type="dxa"/>
            <w:shd w:val="clear" w:color="auto" w:fill="auto"/>
          </w:tcPr>
          <w:p w14:paraId="11F0FC6B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65104DE4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159DA27B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4CC8ABA9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Protokol SIPv2 (RFC3261 a návazné)</w:t>
            </w:r>
          </w:p>
        </w:tc>
        <w:tc>
          <w:tcPr>
            <w:tcW w:w="2615" w:type="dxa"/>
            <w:shd w:val="clear" w:color="auto" w:fill="auto"/>
          </w:tcPr>
          <w:p w14:paraId="496E5C58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29D96FAA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3F229B50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5B6EF45E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 xml:space="preserve">Funkce T.38 Fax </w:t>
            </w:r>
            <w:proofErr w:type="spellStart"/>
            <w:r w:rsidRPr="00CC2D58">
              <w:rPr>
                <w:rFonts w:asciiTheme="minorHAnsi" w:eastAsiaTheme="minorEastAsia" w:hAnsiTheme="minorHAnsi" w:cstheme="minorBidi"/>
                <w:sz w:val="20"/>
              </w:rPr>
              <w:t>Gateway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4AA19004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331EC970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25E74" w:rsidRPr="00BA78BE" w14:paraId="40FD43C4" w14:textId="77777777" w:rsidTr="007B2DE2">
        <w:trPr>
          <w:cantSplit/>
        </w:trPr>
        <w:tc>
          <w:tcPr>
            <w:tcW w:w="4395" w:type="dxa"/>
            <w:shd w:val="clear" w:color="auto" w:fill="auto"/>
          </w:tcPr>
          <w:p w14:paraId="2DAD2CCC" w14:textId="77777777" w:rsidR="00325E74" w:rsidRPr="00CC2D58" w:rsidRDefault="00325E74" w:rsidP="007B2DE2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Podpora hlasových rozhraní ISDN BRI</w:t>
            </w:r>
          </w:p>
        </w:tc>
        <w:tc>
          <w:tcPr>
            <w:tcW w:w="2615" w:type="dxa"/>
            <w:shd w:val="clear" w:color="auto" w:fill="auto"/>
          </w:tcPr>
          <w:p w14:paraId="679C54B1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C2D58">
              <w:rPr>
                <w:rFonts w:asciiTheme="minorHAnsi" w:eastAsiaTheme="minorEastAsia" w:hAnsiTheme="minorHAnsi" w:cstheme="minorBidi"/>
                <w:sz w:val="20"/>
              </w:rPr>
              <w:t>Ano / Ne</w:t>
            </w:r>
          </w:p>
        </w:tc>
        <w:tc>
          <w:tcPr>
            <w:tcW w:w="2375" w:type="dxa"/>
            <w:shd w:val="clear" w:color="auto" w:fill="auto"/>
          </w:tcPr>
          <w:p w14:paraId="7369E82F" w14:textId="77777777" w:rsidR="00325E74" w:rsidRPr="00CC2D58" w:rsidRDefault="00325E74" w:rsidP="007B2DE2">
            <w:pPr>
              <w:spacing w:before="60"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</w:tbl>
    <w:p w14:paraId="4F1D973C" w14:textId="77777777" w:rsidR="00325E74" w:rsidRDefault="00325E74" w:rsidP="00325E74">
      <w:pPr>
        <w:spacing w:after="160" w:line="259" w:lineRule="auto"/>
        <w:ind w:left="0" w:right="0" w:firstLine="0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D3FBB41" w14:textId="77777777" w:rsidR="00325E74" w:rsidRDefault="00325E74" w:rsidP="00325E74">
      <w:pPr>
        <w:pStyle w:val="Nadpis1"/>
      </w:pPr>
      <w:bookmarkStart w:id="9" w:name="_Toc53148481"/>
      <w:r>
        <w:t>Požadavky na videokonferenční jednotky</w:t>
      </w:r>
      <w:bookmarkEnd w:id="9"/>
    </w:p>
    <w:p w14:paraId="50FF7A03" w14:textId="77777777" w:rsidR="00325E74" w:rsidRDefault="00325E74" w:rsidP="00325E74">
      <w:pPr>
        <w:ind w:firstLine="0"/>
        <w:rPr>
          <w:rFonts w:asciiTheme="minorHAnsi" w:hAnsiTheme="minorHAnsi" w:cstheme="minorHAnsi"/>
        </w:rPr>
      </w:pPr>
    </w:p>
    <w:p w14:paraId="73F8B747" w14:textId="77777777" w:rsidR="00325E74" w:rsidRDefault="00325E74" w:rsidP="00325E74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novým infrastrukturním vybavením požadujeme i fyzické vybavení dvou kancelářských prostor videokonferenčními jednotkami dané specifikací níže: </w:t>
      </w:r>
    </w:p>
    <w:p w14:paraId="279C181B" w14:textId="77777777" w:rsidR="00325E74" w:rsidRDefault="00325E74" w:rsidP="00325E74">
      <w:pPr>
        <w:ind w:firstLine="0"/>
        <w:rPr>
          <w:rFonts w:asciiTheme="minorHAnsi" w:hAnsiTheme="minorHAnsi" w:cstheme="minorHAnsi"/>
        </w:rPr>
      </w:pPr>
    </w:p>
    <w:p w14:paraId="2A557A48" w14:textId="77777777" w:rsidR="00325E74" w:rsidRDefault="00325E74" w:rsidP="00325E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Požadujeme k</w:t>
      </w:r>
      <w:r w:rsidRPr="00170210">
        <w:rPr>
          <w:rFonts w:asciiTheme="minorHAnsi" w:hAnsiTheme="minorHAnsi" w:cstheme="minorHAnsi"/>
        </w:rPr>
        <w:t xml:space="preserve">ompaktní </w:t>
      </w:r>
      <w:proofErr w:type="spellStart"/>
      <w:r w:rsidRPr="00170210">
        <w:rPr>
          <w:rFonts w:asciiTheme="minorHAnsi" w:hAnsiTheme="minorHAnsi" w:cstheme="minorHAnsi"/>
        </w:rPr>
        <w:t>all</w:t>
      </w:r>
      <w:proofErr w:type="spellEnd"/>
      <w:r w:rsidRPr="00170210">
        <w:rPr>
          <w:rFonts w:asciiTheme="minorHAnsi" w:hAnsiTheme="minorHAnsi" w:cstheme="minorHAnsi"/>
        </w:rPr>
        <w:t>-in-</w:t>
      </w:r>
      <w:proofErr w:type="spellStart"/>
      <w:r w:rsidRPr="00170210">
        <w:rPr>
          <w:rFonts w:asciiTheme="minorHAnsi" w:hAnsiTheme="minorHAnsi" w:cstheme="minorHAnsi"/>
        </w:rPr>
        <w:t>one</w:t>
      </w:r>
      <w:proofErr w:type="spellEnd"/>
      <w:r w:rsidRPr="00170210">
        <w:rPr>
          <w:rFonts w:asciiTheme="minorHAnsi" w:hAnsiTheme="minorHAnsi" w:cstheme="minorHAnsi"/>
        </w:rPr>
        <w:t xml:space="preserve"> videokonferenční sestav</w:t>
      </w:r>
      <w:r>
        <w:rPr>
          <w:rFonts w:asciiTheme="minorHAnsi" w:hAnsiTheme="minorHAnsi" w:cstheme="minorHAnsi"/>
        </w:rPr>
        <w:t>u</w:t>
      </w:r>
      <w:r w:rsidRPr="00170210">
        <w:rPr>
          <w:rFonts w:asciiTheme="minorHAnsi" w:hAnsiTheme="minorHAnsi" w:cstheme="minorHAnsi"/>
        </w:rPr>
        <w:t xml:space="preserve"> obsahující videokonferenční kodek, kameru, mikrofon, reproduktory, dotykový ovládací displej, držák zařízen</w:t>
      </w:r>
      <w:r>
        <w:rPr>
          <w:rFonts w:asciiTheme="minorHAnsi" w:hAnsiTheme="minorHAnsi" w:cstheme="minorHAnsi"/>
        </w:rPr>
        <w:t xml:space="preserve">í na LCD displej.  </w:t>
      </w:r>
    </w:p>
    <w:p w14:paraId="5377A5D1" w14:textId="77777777" w:rsidR="00325E74" w:rsidRDefault="00325E74" w:rsidP="00325E74">
      <w:pPr>
        <w:rPr>
          <w:rFonts w:asciiTheme="minorHAnsi" w:hAnsiTheme="minorHAnsi" w:cstheme="minorHAnsi"/>
        </w:rPr>
      </w:pPr>
    </w:p>
    <w:p w14:paraId="30212023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 podpora spojení prostřednictvím H.323, SIP a Cisco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Webex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protokolu při rychlostech až do 6 Mb/s</w:t>
      </w:r>
    </w:p>
    <w:p w14:paraId="01DAB70F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Přímá registrace do systému konferenční (cloud) platformy</w:t>
      </w:r>
    </w:p>
    <w:p w14:paraId="3EAD73D8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Možnost migrace zařízení a registrace do On-Premise infrastruktury</w:t>
      </w:r>
    </w:p>
    <w:p w14:paraId="1F42048F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video kodeky H.264, H.265</w:t>
      </w:r>
    </w:p>
    <w:p w14:paraId="42B59952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podpora video formátů až do rozlišení 1080p60 </w:t>
      </w:r>
    </w:p>
    <w:p w14:paraId="4BC7C18B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video vstupy 1xHDMI (podpora rozlišení až 4K30), podpora CEC 2.0</w:t>
      </w:r>
    </w:p>
    <w:p w14:paraId="4958DAC5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video výstupy 2xHDMI s podporou CEC 2.0, podpora rozlišení až 4Kp60</w:t>
      </w:r>
    </w:p>
    <w:p w14:paraId="70CD9945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audio kodeky G.711, G.722, G.722.1, MPEG4 AAC-LD, G.729, OPUS</w:t>
      </w:r>
    </w:p>
    <w:p w14:paraId="1A7DE6E0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Vestavěný akustický echo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canceller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automatic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control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(AGC),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automatic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noise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reduction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lip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synchronization</w:t>
      </w:r>
      <w:proofErr w:type="spellEnd"/>
    </w:p>
    <w:p w14:paraId="6B0EEE1F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audio vstupy 2x mikrofon, 1x externí zdroj (HDMI), vestavěné mikrofonní pole</w:t>
      </w:r>
    </w:p>
    <w:p w14:paraId="36D217CB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externí mikrofon na stůl s funkcí „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mute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a prodlužující kabel min délky </w:t>
      </w:r>
      <w:proofErr w:type="gramStart"/>
      <w:r>
        <w:rPr>
          <w:rFonts w:asciiTheme="minorHAnsi" w:hAnsiTheme="minorHAnsi" w:cstheme="minorHAnsi"/>
          <w:sz w:val="22"/>
          <w:szCs w:val="22"/>
        </w:rPr>
        <w:t>6m</w:t>
      </w:r>
      <w:proofErr w:type="gramEnd"/>
    </w:p>
    <w:p w14:paraId="34E79C64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audio výstup 1x externí ozvučení, vestavěné reproduktory (výkon min. </w:t>
      </w:r>
      <w:proofErr w:type="gramStart"/>
      <w:r w:rsidRPr="002A11BD">
        <w:rPr>
          <w:rFonts w:asciiTheme="minorHAnsi" w:hAnsiTheme="minorHAnsi" w:cstheme="minorHAnsi"/>
          <w:sz w:val="22"/>
          <w:szCs w:val="22"/>
        </w:rPr>
        <w:t>20W</w:t>
      </w:r>
      <w:proofErr w:type="gramEnd"/>
      <w:r w:rsidRPr="002A11BD">
        <w:rPr>
          <w:rFonts w:asciiTheme="minorHAnsi" w:hAnsiTheme="minorHAnsi" w:cstheme="minorHAnsi"/>
          <w:sz w:val="22"/>
          <w:szCs w:val="22"/>
        </w:rPr>
        <w:t>, frekvenční rozsah 70Hz – 20kHz)</w:t>
      </w:r>
    </w:p>
    <w:p w14:paraId="34677368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přenos druhého obrazového kanálů přes H.239/BFCP, rozlišení pro druhý video kanál až 4Kp5; účastníci, kteří neumí přijímat druhý obrazový kanál, uvidí prezentaci jako součást hlavního videa</w:t>
      </w:r>
    </w:p>
    <w:p w14:paraId="7FC336C4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zobrazení prezentace na 2. monitoru</w:t>
      </w:r>
    </w:p>
    <w:p w14:paraId="7F19032C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individuální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transkódování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obrazu a zvuku při vícebodovém spojení</w:t>
      </w:r>
    </w:p>
    <w:p w14:paraId="7D9BA67E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volitelně funkcionalita </w:t>
      </w:r>
      <w:proofErr w:type="gramStart"/>
      <w:r w:rsidRPr="002A11BD">
        <w:rPr>
          <w:rFonts w:asciiTheme="minorHAnsi" w:hAnsiTheme="minorHAnsi" w:cstheme="minorHAnsi"/>
          <w:sz w:val="22"/>
          <w:szCs w:val="22"/>
        </w:rPr>
        <w:t>4-místného</w:t>
      </w:r>
      <w:proofErr w:type="gramEnd"/>
      <w:r w:rsidRPr="002A11BD">
        <w:rPr>
          <w:rFonts w:asciiTheme="minorHAnsi" w:hAnsiTheme="minorHAnsi" w:cstheme="minorHAnsi"/>
          <w:sz w:val="22"/>
          <w:szCs w:val="22"/>
        </w:rPr>
        <w:t xml:space="preserve"> vestavěného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multipointu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s rozlišením až 1080p30 (při 3 připojených účastnících) či 720p30 (při 4 připojených účastnících), kombinace SIP/H.323 hovorů, podpora prezentace až do 4Kp5 v režimu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multipoint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spojení</w:t>
      </w:r>
    </w:p>
    <w:p w14:paraId="574F252F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podpora eskalace dvoubodového spojení na vícebodové prostřednictvím videokonferenční infrastruktury (externí MCU)</w:t>
      </w:r>
    </w:p>
    <w:p w14:paraId="12526E31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snadné a bezpečné spojení přes NAT a firewall H.460.18, H460.19</w:t>
      </w:r>
    </w:p>
    <w:p w14:paraId="7F5A19C6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šifrování videokonferenčního spojení AES, H.235 v3</w:t>
      </w:r>
    </w:p>
    <w:p w14:paraId="3E9BC82D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podpora registrace a vytáčení video adres v URI formátu pro oba protokoly (H.323 i SIP)</w:t>
      </w:r>
    </w:p>
    <w:p w14:paraId="795B3AF0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podpora bezdrátového sdílení prezentace (Windows, Mac)</w:t>
      </w:r>
    </w:p>
    <w:p w14:paraId="3BF10C2A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podpora řízení VCF jednotky z mobilní aplikace (iOS, Android)</w:t>
      </w:r>
    </w:p>
    <w:p w14:paraId="296C6E37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lastRenderedPageBreak/>
        <w:t xml:space="preserve">podpora zobrazení příchozí prezentace a možnost uložení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snapshotů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v mobilní aplikaci (iOS, Android)</w:t>
      </w:r>
    </w:p>
    <w:p w14:paraId="3FCD0E58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dotykový ovládací panel ze stejné platformy výrobce videokonferenčního kodeku o min. úhlopříčce 10“ jako součást dodávky. Panel musí být možno připojit přímo k jednotce přes LAN (TCP/IP), rozlišení 1280x800,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PoE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napájení (zdroj součástí dodávky), podpora českého jazyka. Ovládání hlasitosti, mikrofonu, kamery, přístup ke statistikám hovoru, nastavení jednotky, možnost změny pohledu „layouty“.</w:t>
      </w:r>
    </w:p>
    <w:p w14:paraId="38AC220E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možnost doprogramovat ovládání další AV techniky v místnosti v rámci tohoto panelu</w:t>
      </w:r>
    </w:p>
    <w:p w14:paraId="3EA355FE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síťová autentizace 802.1x</w:t>
      </w:r>
    </w:p>
    <w:p w14:paraId="1B26C220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802.1Q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Virtual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LAN</w:t>
      </w:r>
    </w:p>
    <w:p w14:paraId="38F1F8BA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802.</w:t>
      </w:r>
      <w:proofErr w:type="gramStart"/>
      <w:r w:rsidRPr="002A11BD">
        <w:rPr>
          <w:rFonts w:asciiTheme="minorHAnsi" w:hAnsiTheme="minorHAnsi" w:cstheme="minorHAnsi"/>
          <w:sz w:val="22"/>
          <w:szCs w:val="22"/>
        </w:rPr>
        <w:t>1p</w:t>
      </w:r>
      <w:proofErr w:type="gramEnd"/>
      <w:r w:rsidRPr="002A11B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>)</w:t>
      </w:r>
    </w:p>
    <w:p w14:paraId="35DFCCC4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vestavěné algoritmy pro inteligentní obnovu ztracených paketů, které potlačí až 10% ztrátovost bez viditelného zhoršení kvality obrazu</w:t>
      </w:r>
    </w:p>
    <w:p w14:paraId="65BF42D5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IPv4 i IPv6 (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Dual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Stack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>)</w:t>
      </w:r>
    </w:p>
    <w:p w14:paraId="7573D817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vzdálená správa přes HTTPS, SSH</w:t>
      </w:r>
    </w:p>
    <w:p w14:paraId="7835EE14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1x LAN port (RJ-45) 10/100/1000 Mbit pro LAN komunikaci, 1x LAN port (RJ-45) pro přímé propojení s dotykovým ovladačem</w:t>
      </w:r>
    </w:p>
    <w:p w14:paraId="47FB5BB1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vestavěná Wi-Fi 802.</w:t>
      </w:r>
      <w:proofErr w:type="gramStart"/>
      <w:r w:rsidRPr="002A11BD">
        <w:rPr>
          <w:rFonts w:asciiTheme="minorHAnsi" w:hAnsiTheme="minorHAnsi" w:cstheme="minorHAnsi"/>
          <w:sz w:val="22"/>
          <w:szCs w:val="22"/>
        </w:rPr>
        <w:t>11a</w:t>
      </w:r>
      <w:proofErr w:type="gramEnd"/>
      <w:r w:rsidRPr="002A11BD">
        <w:rPr>
          <w:rFonts w:asciiTheme="minorHAnsi" w:hAnsiTheme="minorHAnsi" w:cstheme="minorHAnsi"/>
          <w:sz w:val="22"/>
          <w:szCs w:val="22"/>
        </w:rPr>
        <w:t>/b/g/n/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2.4 GHz/5 GHz, 2x2 MIMO</w:t>
      </w:r>
    </w:p>
    <w:p w14:paraId="10F97AD5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vestavěný Bluetooth 4.0 LE</w:t>
      </w:r>
    </w:p>
    <w:p w14:paraId="4DE9F593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vestavěný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Kensington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lock</w:t>
      </w:r>
      <w:proofErr w:type="spellEnd"/>
    </w:p>
    <w:p w14:paraId="237EEB16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možnost řízení přes API rozhraní (RS-232, SSH)</w:t>
      </w:r>
    </w:p>
    <w:p w14:paraId="570D66EF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jednoduchá možnost upgradu firmware jednotky přes HTTPS</w:t>
      </w:r>
    </w:p>
    <w:p w14:paraId="3832C4A7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 xml:space="preserve">vestavěná kamera min. </w:t>
      </w:r>
      <w:proofErr w:type="gramStart"/>
      <w:r w:rsidRPr="002A11BD">
        <w:rPr>
          <w:rFonts w:asciiTheme="minorHAnsi" w:hAnsiTheme="minorHAnsi" w:cstheme="minorHAnsi"/>
          <w:sz w:val="22"/>
          <w:szCs w:val="22"/>
        </w:rPr>
        <w:t>5K</w:t>
      </w:r>
      <w:proofErr w:type="gramEnd"/>
      <w:r w:rsidRPr="002A11BD">
        <w:rPr>
          <w:rFonts w:asciiTheme="minorHAnsi" w:hAnsiTheme="minorHAnsi" w:cstheme="minorHAnsi"/>
          <w:sz w:val="22"/>
          <w:szCs w:val="22"/>
        </w:rPr>
        <w:t xml:space="preserve"> UHD pro zajištění Full-HD výřezů, min. rozsah 3x zoom, podpora až 60fps, technologie postavena na min. 15MP senzoru 1/1,7 CMOS, horizontální zorný úhel min. 80°, vertikální zorný úhel min. 50°, automatické vyřezávání obrazu dle počtu uživatelů v místnosti (audio + detekce tváří), automatické </w:t>
      </w:r>
      <w:proofErr w:type="spellStart"/>
      <w:r w:rsidRPr="002A11BD">
        <w:rPr>
          <w:rFonts w:asciiTheme="minorHAnsi" w:hAnsiTheme="minorHAnsi" w:cstheme="minorHAnsi"/>
          <w:sz w:val="22"/>
          <w:szCs w:val="22"/>
        </w:rPr>
        <w:t>zoomování</w:t>
      </w:r>
      <w:proofErr w:type="spellEnd"/>
      <w:r w:rsidRPr="002A11BD">
        <w:rPr>
          <w:rFonts w:asciiTheme="minorHAnsi" w:hAnsiTheme="minorHAnsi" w:cstheme="minorHAnsi"/>
          <w:sz w:val="22"/>
          <w:szCs w:val="22"/>
        </w:rPr>
        <w:t xml:space="preserve"> na hovořícího účastníka, automatické ostření, jas a vyvážení bílé, ostření od 1 m do nekonečna</w:t>
      </w:r>
    </w:p>
    <w:p w14:paraId="0EAF0EBE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zaznamenávání počtu uživatelů v místnosti pro analýzu využití systému</w:t>
      </w:r>
    </w:p>
    <w:p w14:paraId="6CD53ADB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lokální a serverové adresáře, registr volaných, přijatých a zmeškaných spojení</w:t>
      </w:r>
    </w:p>
    <w:p w14:paraId="4B3FC75D" w14:textId="77777777" w:rsidR="00325E74" w:rsidRPr="002A11BD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11BD">
        <w:rPr>
          <w:rFonts w:asciiTheme="minorHAnsi" w:hAnsiTheme="minorHAnsi" w:cstheme="minorHAnsi"/>
          <w:sz w:val="22"/>
          <w:szCs w:val="22"/>
        </w:rPr>
        <w:t>uživatelské rozhraní v českém jazyce</w:t>
      </w:r>
    </w:p>
    <w:p w14:paraId="1163936C" w14:textId="2E8DF589" w:rsidR="00325E74" w:rsidRDefault="00325E74" w:rsidP="00325E74">
      <w:pPr>
        <w:spacing w:after="160" w:line="259" w:lineRule="auto"/>
        <w:ind w:left="0" w:right="0" w:firstLine="0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41B4990" w14:textId="77777777" w:rsidR="00325E74" w:rsidRPr="00F22A79" w:rsidRDefault="00325E74" w:rsidP="00325E74">
      <w:pPr>
        <w:pStyle w:val="Nadpis1"/>
      </w:pPr>
      <w:bookmarkStart w:id="10" w:name="_Toc53148482"/>
      <w:r w:rsidRPr="00F22A79">
        <w:t>Požadavky na implementační práce</w:t>
      </w:r>
      <w:bookmarkEnd w:id="10"/>
    </w:p>
    <w:p w14:paraId="15E1DD0D" w14:textId="77777777" w:rsidR="00325E74" w:rsidRPr="00CA05CA" w:rsidRDefault="00325E74" w:rsidP="00325E74">
      <w:pPr>
        <w:rPr>
          <w:rFonts w:asciiTheme="minorHAnsi" w:hAnsiTheme="minorHAnsi" w:cstheme="minorHAnsi"/>
          <w:b/>
        </w:rPr>
      </w:pPr>
    </w:p>
    <w:p w14:paraId="14E9F6FE" w14:textId="77777777" w:rsidR="00325E74" w:rsidRPr="00CA05CA" w:rsidRDefault="00325E74" w:rsidP="00325E74">
      <w:pPr>
        <w:ind w:firstLine="0"/>
        <w:rPr>
          <w:rFonts w:asciiTheme="minorHAnsi" w:hAnsiTheme="minorHAnsi" w:cstheme="minorHAnsi"/>
        </w:rPr>
      </w:pPr>
      <w:r w:rsidRPr="00CA05CA">
        <w:rPr>
          <w:rFonts w:asciiTheme="minorHAnsi" w:hAnsiTheme="minorHAnsi" w:cstheme="minorHAnsi"/>
        </w:rPr>
        <w:t xml:space="preserve">V rámci přechodu na nový videokonferenční systém musí nový dodavatel zajistit kompletní konfiguraci dodaného řešení a spolupráci na odladění stávající infrastruktury pro video konference. </w:t>
      </w:r>
    </w:p>
    <w:p w14:paraId="6EB53BBF" w14:textId="77777777" w:rsidR="00325E74" w:rsidRDefault="00325E74" w:rsidP="00325E74">
      <w:pPr>
        <w:rPr>
          <w:rFonts w:asciiTheme="minorHAnsi" w:hAnsiTheme="minorHAnsi" w:cstheme="minorHAnsi"/>
        </w:rPr>
      </w:pPr>
      <w:r w:rsidRPr="00CA05CA">
        <w:rPr>
          <w:rFonts w:asciiTheme="minorHAnsi" w:hAnsiTheme="minorHAnsi" w:cstheme="minorHAnsi"/>
        </w:rPr>
        <w:t>Činnosti dodavatele musí zahrnovat:</w:t>
      </w:r>
    </w:p>
    <w:p w14:paraId="39C2078C" w14:textId="77777777" w:rsidR="00325E74" w:rsidRPr="00CA05CA" w:rsidRDefault="00325E74" w:rsidP="00325E74">
      <w:pPr>
        <w:rPr>
          <w:rFonts w:asciiTheme="minorHAnsi" w:hAnsiTheme="minorHAnsi" w:cstheme="minorHAnsi"/>
        </w:rPr>
      </w:pPr>
    </w:p>
    <w:p w14:paraId="63A854C2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>Technická a organizační komunikace se zadavatelem ve všech částech projektu.</w:t>
      </w:r>
    </w:p>
    <w:p w14:paraId="4BC87A95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>Oboustranné odsouhlasení požadovaných funkcionalit shrnuté v dokumentu (funkční specifikace).</w:t>
      </w:r>
    </w:p>
    <w:p w14:paraId="65137361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>Analýza stávajícího používání videokonferencí a konfigurace.</w:t>
      </w:r>
    </w:p>
    <w:p w14:paraId="363E347E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Seznámení se se stavem datové sítě.</w:t>
      </w:r>
    </w:p>
    <w:p w14:paraId="0B70A0F7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 xml:space="preserve">Vypracování technického </w:t>
      </w:r>
      <w:proofErr w:type="spellStart"/>
      <w:r w:rsidRPr="00760465">
        <w:rPr>
          <w:rFonts w:asciiTheme="minorHAnsi" w:hAnsiTheme="minorHAnsi" w:cstheme="minorHAnsi"/>
          <w:sz w:val="22"/>
          <w:szCs w:val="22"/>
        </w:rPr>
        <w:t>Low</w:t>
      </w:r>
      <w:proofErr w:type="spellEnd"/>
      <w:r w:rsidRPr="00760465">
        <w:rPr>
          <w:rFonts w:asciiTheme="minorHAnsi" w:hAnsiTheme="minorHAnsi" w:cstheme="minorHAnsi"/>
          <w:sz w:val="22"/>
          <w:szCs w:val="22"/>
        </w:rPr>
        <w:t xml:space="preserve"> Level Design dokumentu.</w:t>
      </w:r>
    </w:p>
    <w:p w14:paraId="7ADBD960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>Specifikaci součinnosti ze strany zadavatele.</w:t>
      </w:r>
    </w:p>
    <w:p w14:paraId="5F2F3A2C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 xml:space="preserve">Instalaci a konfiguraci SW pro Call </w:t>
      </w:r>
      <w:proofErr w:type="spellStart"/>
      <w:r w:rsidRPr="00CA05CA">
        <w:rPr>
          <w:rFonts w:asciiTheme="minorHAnsi" w:hAnsiTheme="minorHAnsi" w:cstheme="minorHAnsi"/>
          <w:sz w:val="22"/>
          <w:szCs w:val="22"/>
        </w:rPr>
        <w:t>Control</w:t>
      </w:r>
      <w:proofErr w:type="spellEnd"/>
      <w:r w:rsidRPr="00CA05CA">
        <w:rPr>
          <w:rFonts w:asciiTheme="minorHAnsi" w:hAnsiTheme="minorHAnsi" w:cstheme="minorHAnsi"/>
          <w:sz w:val="22"/>
          <w:szCs w:val="22"/>
        </w:rPr>
        <w:t xml:space="preserve"> a registraci video jednotek </w:t>
      </w:r>
      <w:r w:rsidRPr="00760465">
        <w:rPr>
          <w:rFonts w:asciiTheme="minorHAnsi" w:hAnsiTheme="minorHAnsi" w:cstheme="minorHAnsi"/>
          <w:sz w:val="22"/>
          <w:szCs w:val="22"/>
        </w:rPr>
        <w:t xml:space="preserve">(dle vlastností funkční specifikace ZD) do virtuálního prostředí Technologického centra </w:t>
      </w:r>
      <w:r>
        <w:rPr>
          <w:rFonts w:asciiTheme="minorHAnsi" w:hAnsiTheme="minorHAnsi" w:cstheme="minorHAnsi"/>
          <w:sz w:val="22"/>
          <w:szCs w:val="22"/>
        </w:rPr>
        <w:t>Zadavatele</w:t>
      </w:r>
    </w:p>
    <w:p w14:paraId="31D7A564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 xml:space="preserve">Instalace a konfigurace video konferenčního serveru ve virtuálním prostředí Technologického centra </w:t>
      </w:r>
      <w:r>
        <w:rPr>
          <w:rFonts w:asciiTheme="minorHAnsi" w:hAnsiTheme="minorHAnsi" w:cstheme="minorHAnsi"/>
          <w:sz w:val="22"/>
          <w:szCs w:val="22"/>
        </w:rPr>
        <w:t>Zadavatele</w:t>
      </w:r>
    </w:p>
    <w:p w14:paraId="38F0CD63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lastRenderedPageBreak/>
        <w:t>Instalace a konfigurace SW pro plánování videokonferencí a správu koncových zařízení (</w:t>
      </w:r>
      <w:r>
        <w:rPr>
          <w:rFonts w:asciiTheme="minorHAnsi" w:hAnsiTheme="minorHAnsi" w:cstheme="minorHAnsi"/>
          <w:sz w:val="22"/>
          <w:szCs w:val="22"/>
        </w:rPr>
        <w:t xml:space="preserve">licenci operačního systému Microsoft </w:t>
      </w:r>
      <w:r w:rsidRPr="00B759B6">
        <w:rPr>
          <w:rFonts w:asciiTheme="minorHAnsi" w:hAnsiTheme="minorHAnsi" w:cstheme="minorHAnsi"/>
          <w:sz w:val="22"/>
          <w:szCs w:val="22"/>
        </w:rPr>
        <w:t xml:space="preserve">Windows Server dodá </w:t>
      </w:r>
      <w:r>
        <w:rPr>
          <w:rFonts w:asciiTheme="minorHAnsi" w:hAnsiTheme="minorHAnsi" w:cstheme="minorHAnsi"/>
          <w:sz w:val="22"/>
          <w:szCs w:val="22"/>
        </w:rPr>
        <w:t>Zadavatel a není předmětem dodávky</w:t>
      </w:r>
      <w:r w:rsidRPr="00CA05C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042390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Instalace a konfigurace SW pro mobilní uživatele se SW kli</w:t>
      </w:r>
      <w:r>
        <w:rPr>
          <w:rFonts w:asciiTheme="minorHAnsi" w:hAnsiTheme="minorHAnsi" w:cstheme="minorHAnsi"/>
          <w:sz w:val="22"/>
          <w:szCs w:val="22"/>
        </w:rPr>
        <w:t>entem do virtuálního prostředí T</w:t>
      </w:r>
      <w:r w:rsidRPr="00CA05CA">
        <w:rPr>
          <w:rFonts w:asciiTheme="minorHAnsi" w:hAnsiTheme="minorHAnsi" w:cstheme="minorHAnsi"/>
          <w:sz w:val="22"/>
          <w:szCs w:val="22"/>
        </w:rPr>
        <w:t xml:space="preserve">echnologického centra </w:t>
      </w:r>
      <w:r>
        <w:rPr>
          <w:rFonts w:asciiTheme="minorHAnsi" w:hAnsiTheme="minorHAnsi" w:cstheme="minorHAnsi"/>
          <w:sz w:val="22"/>
          <w:szCs w:val="22"/>
        </w:rPr>
        <w:t>Zadavatele.</w:t>
      </w:r>
    </w:p>
    <w:p w14:paraId="7ED5018F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Vytvoření uživatelů pro SW klienty</w:t>
      </w:r>
    </w:p>
    <w:p w14:paraId="4CA9B845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Konfigurace a registrace</w:t>
      </w:r>
      <w:r w:rsidRPr="00CA05CA">
        <w:rPr>
          <w:rFonts w:asciiTheme="minorHAnsi" w:hAnsiTheme="minorHAnsi" w:cstheme="minorHAnsi"/>
          <w:sz w:val="22"/>
          <w:szCs w:val="22"/>
        </w:rPr>
        <w:t xml:space="preserve"> stávajících video zařízení.</w:t>
      </w:r>
    </w:p>
    <w:p w14:paraId="260F0982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>Příprava akceptačních testů.</w:t>
      </w:r>
    </w:p>
    <w:p w14:paraId="29EC7CEC" w14:textId="77777777" w:rsidR="00325E74" w:rsidRPr="00760465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0465">
        <w:rPr>
          <w:rFonts w:asciiTheme="minorHAnsi" w:hAnsiTheme="minorHAnsi" w:cstheme="minorHAnsi"/>
          <w:sz w:val="22"/>
          <w:szCs w:val="22"/>
        </w:rPr>
        <w:t>Základní zaškolení administrátorů systému.</w:t>
      </w:r>
    </w:p>
    <w:p w14:paraId="70812227" w14:textId="77777777" w:rsidR="00325E74" w:rsidRPr="00CA05CA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05CA">
        <w:rPr>
          <w:rFonts w:asciiTheme="minorHAnsi" w:hAnsiTheme="minorHAnsi" w:cstheme="minorHAnsi"/>
          <w:sz w:val="22"/>
          <w:szCs w:val="22"/>
        </w:rPr>
        <w:t>Zkušební provoz (ladění a odstraňování nedostatků).</w:t>
      </w:r>
    </w:p>
    <w:p w14:paraId="250829C1" w14:textId="77777777" w:rsidR="00325E74" w:rsidRDefault="00325E74" w:rsidP="00325E74">
      <w:pPr>
        <w:rPr>
          <w:b/>
        </w:rPr>
      </w:pPr>
    </w:p>
    <w:p w14:paraId="4536A70E" w14:textId="77777777" w:rsidR="00325E74" w:rsidRPr="00F22A79" w:rsidRDefault="00325E74" w:rsidP="00325E74">
      <w:pPr>
        <w:pStyle w:val="Nadpis1"/>
      </w:pPr>
      <w:bookmarkStart w:id="11" w:name="_Toc53148483"/>
      <w:r w:rsidRPr="00F22A79">
        <w:t>Servisní podpora výrobce</w:t>
      </w:r>
      <w:bookmarkEnd w:id="11"/>
    </w:p>
    <w:p w14:paraId="5CB3AB09" w14:textId="77777777" w:rsidR="00325E74" w:rsidRPr="00CA05CA" w:rsidRDefault="00325E74" w:rsidP="00325E74">
      <w:r w:rsidRPr="00CA05CA">
        <w:t>V rámci zadávací</w:t>
      </w:r>
      <w:r>
        <w:t xml:space="preserve"> dokumentace vyžadujeme záruku </w:t>
      </w:r>
      <w:r>
        <w:rPr>
          <w:b/>
        </w:rPr>
        <w:t>3 roky</w:t>
      </w:r>
      <w:r w:rsidRPr="00CA05CA">
        <w:t xml:space="preserve"> na veškeré dodávané komponenty a konfiguraci systému:</w:t>
      </w:r>
    </w:p>
    <w:p w14:paraId="73B56822" w14:textId="77777777" w:rsidR="00325E74" w:rsidRPr="00CA05CA" w:rsidRDefault="00325E74" w:rsidP="00325E74"/>
    <w:p w14:paraId="1168E7D3" w14:textId="77777777" w:rsidR="00325E74" w:rsidRPr="0080357F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357F">
        <w:rPr>
          <w:rFonts w:asciiTheme="minorHAnsi" w:hAnsiTheme="minorHAnsi" w:cstheme="minorHAnsi"/>
          <w:sz w:val="22"/>
          <w:szCs w:val="22"/>
        </w:rPr>
        <w:t xml:space="preserve">Zajištění přístupu k novým verzím SW, aktualizace bezpečnostních balíčků, firmwarů a jiných SW komponent tohoto řešení.  </w:t>
      </w:r>
    </w:p>
    <w:p w14:paraId="00924CB8" w14:textId="77777777" w:rsidR="00325E74" w:rsidRPr="0080357F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357F">
        <w:rPr>
          <w:rFonts w:asciiTheme="minorHAnsi" w:hAnsiTheme="minorHAnsi" w:cstheme="minorHAnsi"/>
          <w:sz w:val="22"/>
          <w:szCs w:val="22"/>
        </w:rPr>
        <w:t>Zajištění přístupu k dokumentaci výrobce zařízení a znalostní databázi, kterou výrobce v rámci své podpory poskytuje.</w:t>
      </w:r>
    </w:p>
    <w:p w14:paraId="0795D1C4" w14:textId="77777777" w:rsidR="00325E74" w:rsidRPr="0080357F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357F">
        <w:rPr>
          <w:rFonts w:asciiTheme="minorHAnsi" w:hAnsiTheme="minorHAnsi" w:cstheme="minorHAnsi"/>
          <w:sz w:val="22"/>
          <w:szCs w:val="22"/>
        </w:rPr>
        <w:t>Zajištění odborné pomoci při řešení konfiguračních a provozních problémů nebo závad HW a SW s využitím technického asistenčního centra výrobce.</w:t>
      </w:r>
    </w:p>
    <w:p w14:paraId="199CF20C" w14:textId="77777777" w:rsidR="00325E74" w:rsidRPr="0080357F" w:rsidRDefault="00325E74" w:rsidP="00325E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357F">
        <w:rPr>
          <w:rFonts w:asciiTheme="minorHAnsi" w:hAnsiTheme="minorHAnsi" w:cstheme="minorHAnsi"/>
          <w:sz w:val="22"/>
          <w:szCs w:val="22"/>
        </w:rPr>
        <w:t>Zajištění odeslání vadného dílu nebo zařízení výrobcem nejpozději do konce pracovní doby pracovního dne bezprostředně následujícího po pracovním dnu, ve kterém byla závada ohlášena (NBD) včetně dopravy a dalších logistických služeb.</w:t>
      </w:r>
    </w:p>
    <w:p w14:paraId="34FE6AEC" w14:textId="77777777" w:rsidR="00325E74" w:rsidRDefault="00325E74" w:rsidP="00325E74"/>
    <w:p w14:paraId="38D11060" w14:textId="0C573F07" w:rsidR="00074F34" w:rsidRPr="00910FBA" w:rsidRDefault="00074F34" w:rsidP="00910FB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074F34" w:rsidRPr="00910F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1870" w14:textId="77777777" w:rsidR="00BA33C1" w:rsidRDefault="00BA33C1" w:rsidP="00AA6C45">
      <w:pPr>
        <w:spacing w:after="0" w:line="240" w:lineRule="auto"/>
      </w:pPr>
      <w:r>
        <w:separator/>
      </w:r>
    </w:p>
  </w:endnote>
  <w:endnote w:type="continuationSeparator" w:id="0">
    <w:p w14:paraId="2A6DED46" w14:textId="77777777" w:rsidR="00BA33C1" w:rsidRDefault="00BA33C1" w:rsidP="00A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3A76" w14:textId="77777777" w:rsidR="00BA33C1" w:rsidRDefault="00BA33C1" w:rsidP="00AA6C45">
      <w:pPr>
        <w:spacing w:after="0" w:line="240" w:lineRule="auto"/>
      </w:pPr>
      <w:r>
        <w:separator/>
      </w:r>
    </w:p>
  </w:footnote>
  <w:footnote w:type="continuationSeparator" w:id="0">
    <w:p w14:paraId="22526F62" w14:textId="77777777" w:rsidR="00BA33C1" w:rsidRDefault="00BA33C1" w:rsidP="00A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0F95" w14:textId="28A55C8F" w:rsidR="00AA6C45" w:rsidRDefault="0020168C" w:rsidP="0020168C">
    <w:pPr>
      <w:pStyle w:val="Zhlav"/>
      <w:jc w:val="right"/>
    </w:pPr>
    <w:r>
      <w:t>Příloha č. 1 Kupní smlouvy č. S19/21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D12"/>
    <w:multiLevelType w:val="hybridMultilevel"/>
    <w:tmpl w:val="1B365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4335"/>
    <w:multiLevelType w:val="hybridMultilevel"/>
    <w:tmpl w:val="1CF4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76E"/>
    <w:multiLevelType w:val="hybridMultilevel"/>
    <w:tmpl w:val="2734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A92"/>
    <w:multiLevelType w:val="hybridMultilevel"/>
    <w:tmpl w:val="470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410A3"/>
    <w:multiLevelType w:val="hybridMultilevel"/>
    <w:tmpl w:val="4546D9CA"/>
    <w:lvl w:ilvl="0" w:tplc="CF06A25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74"/>
    <w:rsid w:val="00034AC2"/>
    <w:rsid w:val="00074F34"/>
    <w:rsid w:val="001E261B"/>
    <w:rsid w:val="0020168C"/>
    <w:rsid w:val="00213079"/>
    <w:rsid w:val="003208A6"/>
    <w:rsid w:val="00325E74"/>
    <w:rsid w:val="00614C13"/>
    <w:rsid w:val="0070244B"/>
    <w:rsid w:val="007877DD"/>
    <w:rsid w:val="007B2DE2"/>
    <w:rsid w:val="00910FBA"/>
    <w:rsid w:val="009432AD"/>
    <w:rsid w:val="00A6197B"/>
    <w:rsid w:val="00AA53AD"/>
    <w:rsid w:val="00AA6C45"/>
    <w:rsid w:val="00BA33C1"/>
    <w:rsid w:val="00F31BEF"/>
    <w:rsid w:val="00F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FC8D"/>
  <w15:docId w15:val="{AFCC05C5-7071-41C2-B771-2FCBF438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E74"/>
    <w:pPr>
      <w:spacing w:after="11" w:line="248" w:lineRule="auto"/>
      <w:ind w:left="10" w:right="139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5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325E74"/>
    <w:pPr>
      <w:widowControl w:val="0"/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325E74"/>
    <w:pPr>
      <w:spacing w:line="259" w:lineRule="auto"/>
      <w:ind w:left="0" w:right="0" w:firstLine="0"/>
      <w:jc w:val="left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325E74"/>
    <w:pPr>
      <w:spacing w:after="100"/>
      <w:ind w:left="0"/>
    </w:pPr>
  </w:style>
  <w:style w:type="character" w:styleId="Hypertextovodkaz">
    <w:name w:val="Hyperlink"/>
    <w:basedOn w:val="Standardnpsmoodstavce"/>
    <w:uiPriority w:val="99"/>
    <w:unhideWhenUsed/>
    <w:rsid w:val="00325E7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74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DE2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DE2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C45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C45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3067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Tereza Kittlerová</cp:lastModifiedBy>
  <cp:revision>15</cp:revision>
  <dcterms:created xsi:type="dcterms:W3CDTF">2021-01-18T13:52:00Z</dcterms:created>
  <dcterms:modified xsi:type="dcterms:W3CDTF">2021-01-21T09:12:00Z</dcterms:modified>
</cp:coreProperties>
</file>