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AAB9" w14:textId="283D2834" w:rsidR="00472767" w:rsidRPr="00472767" w:rsidRDefault="00472767" w:rsidP="00472767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  <w:r w:rsidRPr="009A2FBF">
        <w:rPr>
          <w:rFonts w:ascii="Calibri" w:hAnsi="Calibri"/>
          <w:b/>
          <w:color w:val="000000" w:themeColor="text1"/>
          <w:sz w:val="24"/>
        </w:rPr>
        <w:t>Zadávací dokumentace „VZS-</w:t>
      </w:r>
      <w:proofErr w:type="gramStart"/>
      <w:r w:rsidRPr="009A2FBF">
        <w:rPr>
          <w:rFonts w:ascii="Calibri" w:hAnsi="Calibri"/>
          <w:b/>
          <w:color w:val="000000" w:themeColor="text1"/>
          <w:sz w:val="24"/>
        </w:rPr>
        <w:t>01</w:t>
      </w:r>
      <w:r w:rsidR="00D81B34">
        <w:rPr>
          <w:rFonts w:ascii="Calibri" w:hAnsi="Calibri"/>
          <w:b/>
          <w:color w:val="000000" w:themeColor="text1"/>
          <w:sz w:val="24"/>
        </w:rPr>
        <w:t>d</w:t>
      </w:r>
      <w:proofErr w:type="gramEnd"/>
      <w:r w:rsidRPr="009A2FBF">
        <w:rPr>
          <w:rFonts w:ascii="Calibri" w:hAnsi="Calibri"/>
          <w:b/>
          <w:color w:val="000000" w:themeColor="text1"/>
          <w:sz w:val="24"/>
        </w:rPr>
        <w:t xml:space="preserve"> Pořízení ERP, HR a APS systémů, jejich vzájemná implementace, údržba a rozvoj“ </w:t>
      </w:r>
    </w:p>
    <w:p w14:paraId="08406FDB" w14:textId="3FD994E5" w:rsidR="009E4B9D" w:rsidRDefault="009E4B9D" w:rsidP="009E4B9D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 xml:space="preserve">Příloha </w:t>
      </w:r>
      <w:r w:rsidR="00591C8F">
        <w:rPr>
          <w:rFonts w:ascii="Calibri" w:hAnsi="Calibri"/>
          <w:b/>
          <w:color w:val="000000" w:themeColor="text1"/>
          <w:sz w:val="24"/>
        </w:rPr>
        <w:t>E</w:t>
      </w:r>
      <w:r>
        <w:rPr>
          <w:rFonts w:ascii="Calibri" w:hAnsi="Calibri"/>
          <w:b/>
          <w:color w:val="000000" w:themeColor="text1"/>
          <w:sz w:val="24"/>
        </w:rPr>
        <w:t xml:space="preserve">, </w:t>
      </w:r>
      <w:r w:rsidR="00881AD9">
        <w:rPr>
          <w:rFonts w:ascii="Calibri" w:hAnsi="Calibri"/>
          <w:b/>
          <w:color w:val="000000" w:themeColor="text1"/>
          <w:sz w:val="24"/>
        </w:rPr>
        <w:t>Popis prostředí HW a SW Zadavatele</w:t>
      </w:r>
    </w:p>
    <w:p w14:paraId="70444038" w14:textId="52B6979B" w:rsidR="00881AD9" w:rsidRDefault="00881AD9"/>
    <w:p w14:paraId="41E2F152" w14:textId="77777777" w:rsidR="00557471" w:rsidRDefault="00557471"/>
    <w:p w14:paraId="7AB55965" w14:textId="40B41EBC" w:rsidR="00881AD9" w:rsidRDefault="00881AD9" w:rsidP="00881AD9">
      <w:pPr>
        <w:rPr>
          <w:rFonts w:cs="Calibri"/>
          <w:b/>
          <w:bCs/>
          <w:color w:val="000000"/>
          <w:sz w:val="22"/>
          <w:szCs w:val="22"/>
        </w:rPr>
      </w:pPr>
      <w:r w:rsidRPr="00881AD9">
        <w:rPr>
          <w:rFonts w:cs="Calibri"/>
          <w:b/>
          <w:bCs/>
          <w:color w:val="000000"/>
          <w:sz w:val="22"/>
          <w:szCs w:val="22"/>
        </w:rPr>
        <w:t>Aktuálně využívané systémy</w:t>
      </w:r>
      <w:r>
        <w:rPr>
          <w:rFonts w:cs="Calibri"/>
          <w:b/>
          <w:bCs/>
          <w:color w:val="000000"/>
          <w:sz w:val="22"/>
          <w:szCs w:val="22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961"/>
      </w:tblGrid>
      <w:tr w:rsidR="00881AD9" w:rsidRPr="00881AD9" w14:paraId="7D805A66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559AD9A5" w14:textId="3B8E989C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ERP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systém</w:t>
            </w:r>
          </w:p>
        </w:tc>
        <w:tc>
          <w:tcPr>
            <w:tcW w:w="4961" w:type="dxa"/>
            <w:shd w:val="clear" w:color="auto" w:fill="auto"/>
            <w:hideMark/>
          </w:tcPr>
          <w:p w14:paraId="309C76A5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QAD / MFG PRO</w:t>
            </w:r>
          </w:p>
        </w:tc>
      </w:tr>
      <w:tr w:rsidR="00881AD9" w:rsidRPr="00881AD9" w14:paraId="456FB4FC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018FFAE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Systém pro řízení technické přípravy výroby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A157D2C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TPV2000+</w:t>
            </w:r>
          </w:p>
        </w:tc>
      </w:tr>
      <w:tr w:rsidR="00881AD9" w:rsidRPr="00881AD9" w14:paraId="52B02353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97F03A2" w14:textId="0423604B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Systém pro konstrukční činnost</w:t>
            </w:r>
            <w:r w:rsidR="003A4A8F">
              <w:rPr>
                <w:rFonts w:cs="Calibri"/>
                <w:color w:val="000000"/>
                <w:sz w:val="22"/>
                <w:szCs w:val="22"/>
              </w:rPr>
              <w:br/>
              <w:t>včetně NC programů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8BB40C2" w14:textId="1C28A1A4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881AD9">
              <w:rPr>
                <w:rFonts w:cs="Calibri"/>
                <w:color w:val="000000"/>
                <w:sz w:val="22"/>
                <w:szCs w:val="22"/>
              </w:rPr>
              <w:t>TeamCenter</w:t>
            </w:r>
            <w:proofErr w:type="spellEnd"/>
            <w:r w:rsidRPr="00881AD9">
              <w:rPr>
                <w:rFonts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81AD9">
              <w:rPr>
                <w:rFonts w:cs="Calibri"/>
                <w:color w:val="000000"/>
                <w:sz w:val="22"/>
                <w:szCs w:val="22"/>
              </w:rPr>
              <w:t>SolidEdge</w:t>
            </w:r>
            <w:proofErr w:type="spellEnd"/>
            <w:r w:rsidR="003A4A8F">
              <w:rPr>
                <w:rFonts w:cs="Calibri"/>
                <w:color w:val="000000"/>
                <w:sz w:val="22"/>
                <w:szCs w:val="22"/>
              </w:rPr>
              <w:t xml:space="preserve"> / NX Siemens</w:t>
            </w:r>
          </w:p>
        </w:tc>
      </w:tr>
      <w:tr w:rsidR="00881AD9" w:rsidRPr="00881AD9" w14:paraId="5D3AC8D9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4A48009E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Systém na řízení jakosti</w:t>
            </w:r>
          </w:p>
        </w:tc>
        <w:tc>
          <w:tcPr>
            <w:tcW w:w="4961" w:type="dxa"/>
            <w:shd w:val="clear" w:color="auto" w:fill="auto"/>
            <w:hideMark/>
          </w:tcPr>
          <w:p w14:paraId="474C8297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881AD9">
              <w:rPr>
                <w:rFonts w:cs="Calibri"/>
                <w:color w:val="000000"/>
                <w:sz w:val="22"/>
                <w:szCs w:val="22"/>
              </w:rPr>
              <w:t>Palstat</w:t>
            </w:r>
            <w:proofErr w:type="spellEnd"/>
          </w:p>
        </w:tc>
      </w:tr>
      <w:tr w:rsidR="00881AD9" w:rsidRPr="00881AD9" w14:paraId="4364199F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33381F8C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DMS systém</w:t>
            </w:r>
          </w:p>
        </w:tc>
        <w:tc>
          <w:tcPr>
            <w:tcW w:w="4961" w:type="dxa"/>
            <w:shd w:val="clear" w:color="auto" w:fill="auto"/>
            <w:hideMark/>
          </w:tcPr>
          <w:p w14:paraId="0B1F1B39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SharePoint</w:t>
            </w:r>
          </w:p>
        </w:tc>
      </w:tr>
      <w:tr w:rsidR="00881AD9" w:rsidRPr="00881AD9" w14:paraId="06A73742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7237C046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Manažerský informační systém</w:t>
            </w:r>
          </w:p>
        </w:tc>
        <w:tc>
          <w:tcPr>
            <w:tcW w:w="4961" w:type="dxa"/>
            <w:shd w:val="clear" w:color="auto" w:fill="auto"/>
            <w:hideMark/>
          </w:tcPr>
          <w:p w14:paraId="5FD843A0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COGNOS</w:t>
            </w:r>
          </w:p>
        </w:tc>
      </w:tr>
      <w:tr w:rsidR="00881AD9" w:rsidRPr="00881AD9" w14:paraId="2B7A6BAE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57FF8231" w14:textId="60589BA8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Personální</w:t>
            </w:r>
            <w:r w:rsidR="006F0284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r w:rsidRPr="00881AD9">
              <w:rPr>
                <w:rFonts w:cs="Calibri"/>
                <w:color w:val="000000"/>
                <w:sz w:val="22"/>
                <w:szCs w:val="22"/>
              </w:rPr>
              <w:t xml:space="preserve">mzdový </w:t>
            </w:r>
            <w:r w:rsidR="006F0284">
              <w:rPr>
                <w:rFonts w:cs="Calibri"/>
                <w:color w:val="000000"/>
                <w:sz w:val="22"/>
                <w:szCs w:val="22"/>
              </w:rPr>
              <w:t xml:space="preserve">a docházkový </w:t>
            </w:r>
            <w:r w:rsidRPr="00881AD9">
              <w:rPr>
                <w:rFonts w:cs="Calibri"/>
                <w:color w:val="000000"/>
                <w:sz w:val="22"/>
                <w:szCs w:val="22"/>
              </w:rPr>
              <w:t>systém</w:t>
            </w:r>
          </w:p>
        </w:tc>
        <w:tc>
          <w:tcPr>
            <w:tcW w:w="4961" w:type="dxa"/>
            <w:shd w:val="clear" w:color="auto" w:fill="auto"/>
            <w:hideMark/>
          </w:tcPr>
          <w:p w14:paraId="003279E1" w14:textId="4815E8A4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881AD9">
              <w:rPr>
                <w:rFonts w:cs="Calibri"/>
                <w:color w:val="000000"/>
                <w:sz w:val="22"/>
                <w:szCs w:val="22"/>
              </w:rPr>
              <w:t>Ap</w:t>
            </w: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Pr="00881AD9">
              <w:rPr>
                <w:rFonts w:cs="Calibri"/>
                <w:color w:val="000000"/>
                <w:sz w:val="22"/>
                <w:szCs w:val="22"/>
              </w:rPr>
              <w:t>o</w:t>
            </w:r>
            <w:proofErr w:type="spellEnd"/>
          </w:p>
        </w:tc>
      </w:tr>
      <w:tr w:rsidR="00881AD9" w:rsidRPr="00881AD9" w14:paraId="26D4EADE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1281BBDF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Pálící SW</w:t>
            </w:r>
          </w:p>
        </w:tc>
        <w:tc>
          <w:tcPr>
            <w:tcW w:w="4961" w:type="dxa"/>
            <w:shd w:val="clear" w:color="auto" w:fill="auto"/>
            <w:hideMark/>
          </w:tcPr>
          <w:p w14:paraId="16110AB8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RADAN</w:t>
            </w:r>
          </w:p>
        </w:tc>
      </w:tr>
      <w:tr w:rsidR="008F2230" w:rsidRPr="00881AD9" w14:paraId="4C4364FC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</w:tcPr>
          <w:p w14:paraId="69ADAD34" w14:textId="3B7074D7" w:rsidR="008F2230" w:rsidRPr="00881AD9" w:rsidRDefault="004B26BC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Pr="004B26BC">
              <w:rPr>
                <w:rFonts w:cs="Calibri"/>
                <w:color w:val="000000"/>
                <w:sz w:val="22"/>
                <w:szCs w:val="22"/>
              </w:rPr>
              <w:t xml:space="preserve">ledování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manipulačních </w:t>
            </w:r>
            <w:r w:rsidRPr="004B26BC">
              <w:rPr>
                <w:rFonts w:cs="Calibri"/>
                <w:color w:val="000000"/>
                <w:sz w:val="22"/>
                <w:szCs w:val="22"/>
              </w:rPr>
              <w:t>vozíků pomocí GPS</w:t>
            </w:r>
          </w:p>
        </w:tc>
        <w:tc>
          <w:tcPr>
            <w:tcW w:w="4961" w:type="dxa"/>
            <w:shd w:val="clear" w:color="auto" w:fill="auto"/>
          </w:tcPr>
          <w:p w14:paraId="46DAA046" w14:textId="16B907C2" w:rsidR="008F2230" w:rsidRPr="00881AD9" w:rsidRDefault="006116AC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F2230">
              <w:rPr>
                <w:rFonts w:cs="Calibri"/>
                <w:color w:val="000000"/>
                <w:sz w:val="22"/>
                <w:szCs w:val="22"/>
              </w:rPr>
              <w:t>G2 TDM</w:t>
            </w:r>
          </w:p>
        </w:tc>
      </w:tr>
      <w:tr w:rsidR="008F2230" w:rsidRPr="00881AD9" w14:paraId="001CD9B9" w14:textId="77777777" w:rsidTr="00C16866">
        <w:trPr>
          <w:trHeight w:val="288"/>
        </w:trPr>
        <w:tc>
          <w:tcPr>
            <w:tcW w:w="4248" w:type="dxa"/>
            <w:shd w:val="clear" w:color="auto" w:fill="auto"/>
            <w:noWrap/>
          </w:tcPr>
          <w:p w14:paraId="17D646CA" w14:textId="2A8CF5E5" w:rsidR="008F2230" w:rsidRPr="004B26BC" w:rsidRDefault="004B26BC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B26BC">
              <w:rPr>
                <w:sz w:val="22"/>
                <w:szCs w:val="22"/>
              </w:rPr>
              <w:t>nventur</w:t>
            </w:r>
            <w:r>
              <w:rPr>
                <w:sz w:val="22"/>
                <w:szCs w:val="22"/>
              </w:rPr>
              <w:t>y</w:t>
            </w:r>
            <w:r w:rsidRPr="004B26BC">
              <w:rPr>
                <w:sz w:val="22"/>
                <w:szCs w:val="22"/>
              </w:rPr>
              <w:t xml:space="preserve"> a zjištění akt</w:t>
            </w:r>
            <w:r>
              <w:rPr>
                <w:sz w:val="22"/>
                <w:szCs w:val="22"/>
              </w:rPr>
              <w:t xml:space="preserve">. </w:t>
            </w:r>
            <w:r w:rsidRPr="004B26BC">
              <w:rPr>
                <w:sz w:val="22"/>
                <w:szCs w:val="22"/>
              </w:rPr>
              <w:t xml:space="preserve">stavu </w:t>
            </w:r>
            <w:r>
              <w:rPr>
                <w:sz w:val="22"/>
                <w:szCs w:val="22"/>
              </w:rPr>
              <w:t xml:space="preserve">tlakových </w:t>
            </w:r>
            <w:r w:rsidRPr="004B26B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4B26BC">
              <w:rPr>
                <w:sz w:val="22"/>
                <w:szCs w:val="22"/>
              </w:rPr>
              <w:t>hví</w:t>
            </w:r>
          </w:p>
        </w:tc>
        <w:tc>
          <w:tcPr>
            <w:tcW w:w="4961" w:type="dxa"/>
            <w:shd w:val="clear" w:color="auto" w:fill="auto"/>
          </w:tcPr>
          <w:p w14:paraId="1266782C" w14:textId="32FE1404" w:rsidR="008F2230" w:rsidRPr="00881AD9" w:rsidRDefault="006116AC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F2230">
              <w:rPr>
                <w:rFonts w:cs="Calibri"/>
                <w:color w:val="000000"/>
                <w:sz w:val="22"/>
                <w:szCs w:val="22"/>
              </w:rPr>
              <w:t>ACCURA</w:t>
            </w:r>
          </w:p>
        </w:tc>
      </w:tr>
    </w:tbl>
    <w:p w14:paraId="590BDA14" w14:textId="6447235E" w:rsidR="00881AD9" w:rsidRDefault="00881AD9" w:rsidP="00881AD9">
      <w:pPr>
        <w:rPr>
          <w:rFonts w:cs="Calibri"/>
          <w:b/>
          <w:bCs/>
          <w:color w:val="000000"/>
          <w:sz w:val="22"/>
          <w:szCs w:val="22"/>
        </w:rPr>
      </w:pPr>
    </w:p>
    <w:p w14:paraId="1824B168" w14:textId="77777777" w:rsidR="00557471" w:rsidRDefault="00557471" w:rsidP="00881AD9">
      <w:pPr>
        <w:rPr>
          <w:rFonts w:cs="Calibri"/>
          <w:b/>
          <w:bCs/>
          <w:color w:val="000000"/>
          <w:sz w:val="22"/>
          <w:szCs w:val="22"/>
        </w:rPr>
      </w:pPr>
    </w:p>
    <w:p w14:paraId="2F47956B" w14:textId="005D8E9F" w:rsidR="006E0CE5" w:rsidRDefault="006E0CE5" w:rsidP="006E0CE5">
      <w:pPr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Informace k využívaným licencím: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827"/>
      </w:tblGrid>
      <w:tr w:rsidR="006E0CE5" w:rsidRPr="00D24073" w14:paraId="1A81A7FA" w14:textId="77777777" w:rsidTr="00F157B8">
        <w:trPr>
          <w:trHeight w:val="288"/>
        </w:trPr>
        <w:tc>
          <w:tcPr>
            <w:tcW w:w="4248" w:type="dxa"/>
            <w:shd w:val="clear" w:color="auto" w:fill="auto"/>
          </w:tcPr>
          <w:p w14:paraId="131CAD44" w14:textId="77777777" w:rsidR="006E0CE5" w:rsidRPr="00D24073" w:rsidRDefault="006E0CE5" w:rsidP="00F157B8">
            <w:pPr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24073">
              <w:rPr>
                <w:rFonts w:cs="Calibri"/>
                <w:b/>
                <w:bCs/>
                <w:color w:val="000000"/>
                <w:sz w:val="22"/>
                <w:szCs w:val="22"/>
              </w:rPr>
              <w:t>Název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systému</w:t>
            </w:r>
          </w:p>
        </w:tc>
        <w:tc>
          <w:tcPr>
            <w:tcW w:w="3827" w:type="dxa"/>
          </w:tcPr>
          <w:p w14:paraId="4E2FCABE" w14:textId="77777777" w:rsidR="006E0CE5" w:rsidRPr="00D24073" w:rsidRDefault="006E0CE5" w:rsidP="00F157B8">
            <w:pPr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Počet a druh licence</w:t>
            </w:r>
          </w:p>
        </w:tc>
      </w:tr>
      <w:tr w:rsidR="006E0CE5" w:rsidRPr="00881AD9" w14:paraId="66E3891D" w14:textId="77777777" w:rsidTr="00F157B8">
        <w:trPr>
          <w:trHeight w:val="288"/>
        </w:trPr>
        <w:tc>
          <w:tcPr>
            <w:tcW w:w="4248" w:type="dxa"/>
            <w:shd w:val="clear" w:color="auto" w:fill="auto"/>
            <w:hideMark/>
          </w:tcPr>
          <w:p w14:paraId="7B15EA33" w14:textId="3F088D13" w:rsidR="006E0CE5" w:rsidRPr="00881AD9" w:rsidRDefault="006E0CE5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ERP</w:t>
            </w:r>
            <w:r w:rsidR="00F47DA9">
              <w:rPr>
                <w:rFonts w:cs="Calibri"/>
                <w:color w:val="000000"/>
                <w:sz w:val="22"/>
                <w:szCs w:val="22"/>
              </w:rPr>
              <w:t xml:space="preserve"> systém</w:t>
            </w:r>
          </w:p>
        </w:tc>
        <w:tc>
          <w:tcPr>
            <w:tcW w:w="3827" w:type="dxa"/>
          </w:tcPr>
          <w:p w14:paraId="12C69234" w14:textId="77777777" w:rsidR="006E0CE5" w:rsidRPr="00881AD9" w:rsidRDefault="006E0CE5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252 pojmenovaných licencí</w:t>
            </w:r>
          </w:p>
        </w:tc>
      </w:tr>
      <w:tr w:rsidR="006E0CE5" w:rsidRPr="00881AD9" w14:paraId="68533036" w14:textId="77777777" w:rsidTr="00F157B8">
        <w:trPr>
          <w:trHeight w:val="288"/>
        </w:trPr>
        <w:tc>
          <w:tcPr>
            <w:tcW w:w="4248" w:type="dxa"/>
            <w:shd w:val="clear" w:color="auto" w:fill="auto"/>
          </w:tcPr>
          <w:p w14:paraId="33F032B9" w14:textId="1F622EC3" w:rsidR="006E0CE5" w:rsidRDefault="006E0CE5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Personální a mzdový systém</w:t>
            </w:r>
          </w:p>
        </w:tc>
        <w:tc>
          <w:tcPr>
            <w:tcW w:w="3827" w:type="dxa"/>
          </w:tcPr>
          <w:p w14:paraId="20D6B7BA" w14:textId="6C597CF6" w:rsidR="006E0CE5" w:rsidRDefault="006E0CE5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1000 </w:t>
            </w:r>
            <w:r w:rsidR="00B544A4">
              <w:rPr>
                <w:rFonts w:cs="Calibri"/>
                <w:color w:val="000000"/>
                <w:sz w:val="22"/>
                <w:szCs w:val="22"/>
              </w:rPr>
              <w:t>evidovaných osob</w:t>
            </w:r>
          </w:p>
        </w:tc>
      </w:tr>
      <w:tr w:rsidR="006E0CE5" w:rsidRPr="00881AD9" w14:paraId="099D7778" w14:textId="77777777" w:rsidTr="00F157B8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42100E87" w14:textId="77777777" w:rsidR="006E0CE5" w:rsidRPr="00881AD9" w:rsidRDefault="006E0CE5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Systém na řízení jakosti</w:t>
            </w:r>
          </w:p>
        </w:tc>
        <w:tc>
          <w:tcPr>
            <w:tcW w:w="3827" w:type="dxa"/>
          </w:tcPr>
          <w:p w14:paraId="7D0A2795" w14:textId="77C00A54" w:rsidR="006E0CE5" w:rsidRPr="00881AD9" w:rsidRDefault="005E14CC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35 plovoucích licencí</w:t>
            </w:r>
          </w:p>
        </w:tc>
      </w:tr>
      <w:tr w:rsidR="006E0CE5" w:rsidRPr="00881AD9" w14:paraId="030A0EE8" w14:textId="77777777" w:rsidTr="00F157B8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78FCDF47" w14:textId="29E612E3" w:rsidR="006E0CE5" w:rsidRPr="00881AD9" w:rsidRDefault="006E0CE5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TPV2000+</w:t>
            </w:r>
          </w:p>
        </w:tc>
        <w:tc>
          <w:tcPr>
            <w:tcW w:w="3827" w:type="dxa"/>
          </w:tcPr>
          <w:p w14:paraId="180E98D6" w14:textId="29801D7F" w:rsidR="006E0CE5" w:rsidRPr="00881AD9" w:rsidRDefault="006E0CE5" w:rsidP="00F157B8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156EA1">
              <w:rPr>
                <w:rFonts w:cs="Calibri"/>
                <w:color w:val="000000"/>
                <w:sz w:val="22"/>
                <w:szCs w:val="22"/>
              </w:rPr>
              <w:t>Bez omezení</w:t>
            </w:r>
            <w:r w:rsidR="00156EA1" w:rsidRPr="00156EA1">
              <w:rPr>
                <w:rFonts w:cs="Calibri"/>
                <w:color w:val="000000"/>
                <w:sz w:val="22"/>
                <w:szCs w:val="22"/>
              </w:rPr>
              <w:t xml:space="preserve"> (</w:t>
            </w:r>
            <w:r w:rsidR="00156EA1">
              <w:rPr>
                <w:rFonts w:cs="Calibri"/>
                <w:color w:val="000000"/>
                <w:sz w:val="22"/>
                <w:szCs w:val="22"/>
              </w:rPr>
              <w:t>souběžně pracuje cca 50 uživatelů)</w:t>
            </w:r>
          </w:p>
        </w:tc>
      </w:tr>
    </w:tbl>
    <w:p w14:paraId="3C188114" w14:textId="3405BF58" w:rsidR="006E0CE5" w:rsidRDefault="006E0CE5" w:rsidP="00881AD9">
      <w:pPr>
        <w:rPr>
          <w:rFonts w:cs="Calibri"/>
          <w:b/>
          <w:bCs/>
          <w:color w:val="000000"/>
          <w:sz w:val="22"/>
          <w:szCs w:val="22"/>
        </w:rPr>
      </w:pPr>
    </w:p>
    <w:p w14:paraId="5B8A50B5" w14:textId="77777777" w:rsidR="00557471" w:rsidRPr="00881AD9" w:rsidRDefault="00557471" w:rsidP="00881AD9">
      <w:pPr>
        <w:rPr>
          <w:rFonts w:cs="Calibri"/>
          <w:b/>
          <w:bCs/>
          <w:color w:val="000000"/>
          <w:sz w:val="22"/>
          <w:szCs w:val="22"/>
        </w:rPr>
      </w:pPr>
    </w:p>
    <w:p w14:paraId="4F74A6A6" w14:textId="2FC08276" w:rsidR="00881AD9" w:rsidRPr="00881AD9" w:rsidRDefault="00A20384" w:rsidP="00881AD9">
      <w:pPr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Předpokládáme využití těchto technologií</w:t>
      </w:r>
      <w:r w:rsidR="00881AD9">
        <w:rPr>
          <w:rFonts w:cs="Calibri"/>
          <w:b/>
          <w:bCs/>
          <w:color w:val="000000"/>
          <w:sz w:val="22"/>
          <w:szCs w:val="22"/>
        </w:rPr>
        <w:t>: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881AD9" w:rsidRPr="00881AD9" w14:paraId="7B7BFF8A" w14:textId="77777777" w:rsidTr="009A2FBF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5542B73A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Servery na platformě HP, DELL</w:t>
            </w:r>
          </w:p>
        </w:tc>
      </w:tr>
      <w:tr w:rsidR="00881AD9" w:rsidRPr="00881AD9" w14:paraId="33080D2F" w14:textId="77777777" w:rsidTr="009A2FBF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5F07384F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881AD9">
              <w:rPr>
                <w:rFonts w:cs="Calibri"/>
                <w:color w:val="000000"/>
                <w:sz w:val="22"/>
                <w:szCs w:val="22"/>
              </w:rPr>
              <w:t>Active</w:t>
            </w:r>
            <w:proofErr w:type="spellEnd"/>
            <w:r w:rsidRPr="00881AD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1AD9">
              <w:rPr>
                <w:rFonts w:cs="Calibri"/>
                <w:color w:val="000000"/>
                <w:sz w:val="22"/>
                <w:szCs w:val="22"/>
              </w:rPr>
              <w:t>Directory</w:t>
            </w:r>
            <w:proofErr w:type="spellEnd"/>
          </w:p>
        </w:tc>
      </w:tr>
      <w:tr w:rsidR="00881AD9" w:rsidRPr="00881AD9" w14:paraId="1B74C873" w14:textId="77777777" w:rsidTr="009A2FBF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56EE9FC9" w14:textId="77777777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>SQL server 2017 Standard</w:t>
            </w:r>
          </w:p>
        </w:tc>
      </w:tr>
      <w:tr w:rsidR="00A20384" w:rsidRPr="00881AD9" w14:paraId="69960E0A" w14:textId="77777777" w:rsidTr="009A2FBF">
        <w:trPr>
          <w:trHeight w:val="288"/>
        </w:trPr>
        <w:tc>
          <w:tcPr>
            <w:tcW w:w="4248" w:type="dxa"/>
            <w:shd w:val="clear" w:color="auto" w:fill="auto"/>
            <w:noWrap/>
          </w:tcPr>
          <w:p w14:paraId="171707E1" w14:textId="09A5C120" w:rsidR="00A20384" w:rsidRPr="00881AD9" w:rsidRDefault="00A20384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Windows Server 2019</w:t>
            </w:r>
          </w:p>
        </w:tc>
      </w:tr>
      <w:tr w:rsidR="00881AD9" w:rsidRPr="00881AD9" w14:paraId="6686F63D" w14:textId="77777777" w:rsidTr="009A2FBF">
        <w:trPr>
          <w:trHeight w:val="288"/>
        </w:trPr>
        <w:tc>
          <w:tcPr>
            <w:tcW w:w="4248" w:type="dxa"/>
            <w:shd w:val="clear" w:color="auto" w:fill="auto"/>
            <w:noWrap/>
            <w:hideMark/>
          </w:tcPr>
          <w:p w14:paraId="6A3AA2DD" w14:textId="7C0F75CB" w:rsidR="00881AD9" w:rsidRPr="00881AD9" w:rsidRDefault="00881AD9" w:rsidP="00881AD9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81AD9">
              <w:rPr>
                <w:rFonts w:cs="Calibri"/>
                <w:color w:val="000000"/>
                <w:sz w:val="22"/>
                <w:szCs w:val="22"/>
              </w:rPr>
              <w:t xml:space="preserve">Pracovní stanice OS Windows </w:t>
            </w:r>
            <w:r w:rsidR="00A20384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</w:tr>
    </w:tbl>
    <w:p w14:paraId="66986BFC" w14:textId="5269E91C" w:rsidR="00881AD9" w:rsidRDefault="00881AD9"/>
    <w:p w14:paraId="4420A925" w14:textId="77777777" w:rsidR="00557471" w:rsidRDefault="00557471"/>
    <w:p w14:paraId="0FF32C7E" w14:textId="11E0EF62" w:rsidR="00A25A00" w:rsidRPr="00A25A00" w:rsidRDefault="00A25A00">
      <w:pPr>
        <w:rPr>
          <w:rFonts w:cs="Calibri"/>
          <w:b/>
          <w:bCs/>
          <w:color w:val="000000"/>
          <w:sz w:val="22"/>
          <w:szCs w:val="22"/>
        </w:rPr>
      </w:pPr>
      <w:r w:rsidRPr="00A25A00">
        <w:rPr>
          <w:rFonts w:cs="Calibri"/>
          <w:b/>
          <w:bCs/>
          <w:color w:val="000000"/>
          <w:sz w:val="22"/>
          <w:szCs w:val="22"/>
        </w:rPr>
        <w:t>Přehled použitých snímačů docházky ID-Karta</w:t>
      </w:r>
      <w:r w:rsidR="006E7482">
        <w:rPr>
          <w:rFonts w:cs="Calibri"/>
          <w:b/>
          <w:bCs/>
          <w:color w:val="000000"/>
          <w:sz w:val="22"/>
          <w:szCs w:val="22"/>
        </w:rPr>
        <w:t xml:space="preserve"> a jejich určení:</w:t>
      </w:r>
    </w:p>
    <w:tbl>
      <w:tblPr>
        <w:tblStyle w:val="Mkatabulky"/>
        <w:tblW w:w="7931" w:type="dxa"/>
        <w:tblLayout w:type="fixed"/>
        <w:tblLook w:val="04A0" w:firstRow="1" w:lastRow="0" w:firstColumn="1" w:lastColumn="0" w:noHBand="0" w:noVBand="1"/>
      </w:tblPr>
      <w:tblGrid>
        <w:gridCol w:w="2263"/>
        <w:gridCol w:w="1417"/>
        <w:gridCol w:w="1417"/>
        <w:gridCol w:w="1417"/>
        <w:gridCol w:w="1417"/>
      </w:tblGrid>
      <w:tr w:rsidR="006E7482" w:rsidRPr="002F7EC1" w14:paraId="71F11E25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4CE7538A" w14:textId="242B53D4" w:rsidR="006E7482" w:rsidRPr="006E7482" w:rsidRDefault="006E7482" w:rsidP="006E7482">
            <w:pPr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2F7EC1">
              <w:rPr>
                <w:rFonts w:cs="Calibri"/>
                <w:b/>
                <w:bCs/>
                <w:sz w:val="22"/>
                <w:szCs w:val="22"/>
              </w:rPr>
              <w:t>Typ snímače</w:t>
            </w:r>
          </w:p>
        </w:tc>
        <w:tc>
          <w:tcPr>
            <w:tcW w:w="1417" w:type="dxa"/>
            <w:noWrap/>
            <w:vAlign w:val="center"/>
            <w:hideMark/>
          </w:tcPr>
          <w:p w14:paraId="617CB005" w14:textId="0E532CC2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Docházka</w:t>
            </w:r>
          </w:p>
        </w:tc>
        <w:tc>
          <w:tcPr>
            <w:tcW w:w="1417" w:type="dxa"/>
            <w:noWrap/>
            <w:vAlign w:val="center"/>
            <w:hideMark/>
          </w:tcPr>
          <w:p w14:paraId="07799652" w14:textId="28DB2E80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Přístup</w:t>
            </w:r>
          </w:p>
        </w:tc>
        <w:tc>
          <w:tcPr>
            <w:tcW w:w="1417" w:type="dxa"/>
            <w:noWrap/>
            <w:vAlign w:val="center"/>
            <w:hideMark/>
          </w:tcPr>
          <w:p w14:paraId="5E888DD8" w14:textId="7B93BF3C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Stravování</w:t>
            </w:r>
          </w:p>
        </w:tc>
        <w:tc>
          <w:tcPr>
            <w:tcW w:w="1417" w:type="dxa"/>
            <w:noWrap/>
            <w:vAlign w:val="center"/>
            <w:hideMark/>
          </w:tcPr>
          <w:p w14:paraId="37B6914E" w14:textId="77777777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Celkem</w:t>
            </w:r>
          </w:p>
        </w:tc>
      </w:tr>
      <w:tr w:rsidR="006E7482" w:rsidRPr="002F7EC1" w14:paraId="3A84480D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4A1E7637" w14:textId="77777777" w:rsidR="006E7482" w:rsidRPr="006E7482" w:rsidRDefault="006E7482" w:rsidP="006E7482">
            <w:pPr>
              <w:jc w:val="left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ID120K</w:t>
            </w:r>
          </w:p>
        </w:tc>
        <w:tc>
          <w:tcPr>
            <w:tcW w:w="1417" w:type="dxa"/>
            <w:noWrap/>
            <w:vAlign w:val="center"/>
            <w:hideMark/>
          </w:tcPr>
          <w:p w14:paraId="0DA9F0BA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14:paraId="4B84D3C1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1BC7831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65BCAE9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22</w:t>
            </w:r>
          </w:p>
        </w:tc>
      </w:tr>
      <w:tr w:rsidR="006E7482" w:rsidRPr="002F7EC1" w14:paraId="3203FCA0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7FCCFADA" w14:textId="77777777" w:rsidR="006E7482" w:rsidRPr="006E7482" w:rsidRDefault="006E7482" w:rsidP="006E7482">
            <w:pPr>
              <w:jc w:val="left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ID120P</w:t>
            </w:r>
          </w:p>
        </w:tc>
        <w:tc>
          <w:tcPr>
            <w:tcW w:w="1417" w:type="dxa"/>
            <w:noWrap/>
            <w:vAlign w:val="center"/>
            <w:hideMark/>
          </w:tcPr>
          <w:p w14:paraId="75C07F1E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4D9A0E6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BFE9343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506446FB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2</w:t>
            </w:r>
          </w:p>
        </w:tc>
      </w:tr>
      <w:tr w:rsidR="006E7482" w:rsidRPr="002F7EC1" w14:paraId="6EF57639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5DFF601D" w14:textId="77777777" w:rsidR="006E7482" w:rsidRPr="006E7482" w:rsidRDefault="006E7482" w:rsidP="006E7482">
            <w:pPr>
              <w:jc w:val="left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ID650</w:t>
            </w:r>
          </w:p>
        </w:tc>
        <w:tc>
          <w:tcPr>
            <w:tcW w:w="1417" w:type="dxa"/>
            <w:noWrap/>
            <w:vAlign w:val="center"/>
            <w:hideMark/>
          </w:tcPr>
          <w:p w14:paraId="29171825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6061496" w14:textId="77777777" w:rsidR="006E7482" w:rsidRPr="006E7482" w:rsidRDefault="006E7482" w:rsidP="006E74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50B3D4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4D0FB73D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3</w:t>
            </w:r>
          </w:p>
        </w:tc>
      </w:tr>
      <w:tr w:rsidR="006E7482" w:rsidRPr="002F7EC1" w14:paraId="0DBCEAE7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59C56B75" w14:textId="77777777" w:rsidR="006E7482" w:rsidRPr="006E7482" w:rsidRDefault="006E7482" w:rsidP="006E7482">
            <w:pPr>
              <w:jc w:val="left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IDM3000</w:t>
            </w:r>
          </w:p>
        </w:tc>
        <w:tc>
          <w:tcPr>
            <w:tcW w:w="1417" w:type="dxa"/>
            <w:noWrap/>
            <w:vAlign w:val="center"/>
            <w:hideMark/>
          </w:tcPr>
          <w:p w14:paraId="05B84000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087BE0F9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37260F0" w14:textId="77777777" w:rsidR="006E7482" w:rsidRPr="006E7482" w:rsidRDefault="006E7482" w:rsidP="006E74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5FD9EAC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1</w:t>
            </w:r>
          </w:p>
        </w:tc>
      </w:tr>
      <w:tr w:rsidR="006E7482" w:rsidRPr="002F7EC1" w14:paraId="0DE05DD3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238C5F29" w14:textId="77777777" w:rsidR="006E7482" w:rsidRPr="006E7482" w:rsidRDefault="006E7482" w:rsidP="006E7482">
            <w:pPr>
              <w:jc w:val="left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ID-MINI</w:t>
            </w:r>
          </w:p>
        </w:tc>
        <w:tc>
          <w:tcPr>
            <w:tcW w:w="1417" w:type="dxa"/>
            <w:noWrap/>
            <w:vAlign w:val="center"/>
            <w:hideMark/>
          </w:tcPr>
          <w:p w14:paraId="5B2B670F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B1D8903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14:paraId="271DF469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43361C16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19</w:t>
            </w:r>
          </w:p>
        </w:tc>
      </w:tr>
      <w:tr w:rsidR="006E7482" w:rsidRPr="002F7EC1" w14:paraId="75421EF6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31D0DA26" w14:textId="355EA84D" w:rsidR="006E7482" w:rsidRPr="006E7482" w:rsidRDefault="006E7482" w:rsidP="006E7482">
            <w:pPr>
              <w:jc w:val="left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ID-MINI</w:t>
            </w:r>
            <w:r w:rsidRPr="002F7EC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E7482">
              <w:rPr>
                <w:rFonts w:cs="Calibri"/>
                <w:sz w:val="22"/>
                <w:szCs w:val="22"/>
              </w:rPr>
              <w:t>TouchScreen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344DAD4F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2FE90CF" w14:textId="77777777" w:rsidR="006E7482" w:rsidRPr="006E7482" w:rsidRDefault="006E7482" w:rsidP="006E74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B061843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53DD8B9E" w14:textId="77777777" w:rsidR="006E7482" w:rsidRPr="006E7482" w:rsidRDefault="006E7482" w:rsidP="006E7482">
            <w:pPr>
              <w:jc w:val="center"/>
              <w:rPr>
                <w:rFonts w:cs="Calibri"/>
                <w:sz w:val="22"/>
                <w:szCs w:val="22"/>
              </w:rPr>
            </w:pPr>
            <w:r w:rsidRPr="006E7482">
              <w:rPr>
                <w:rFonts w:cs="Calibri"/>
                <w:sz w:val="22"/>
                <w:szCs w:val="22"/>
              </w:rPr>
              <w:t>2</w:t>
            </w:r>
          </w:p>
        </w:tc>
      </w:tr>
      <w:tr w:rsidR="006E7482" w:rsidRPr="002F7EC1" w14:paraId="46CAC70B" w14:textId="77777777" w:rsidTr="006E7482">
        <w:trPr>
          <w:trHeight w:val="300"/>
        </w:trPr>
        <w:tc>
          <w:tcPr>
            <w:tcW w:w="2263" w:type="dxa"/>
            <w:noWrap/>
            <w:vAlign w:val="center"/>
            <w:hideMark/>
          </w:tcPr>
          <w:p w14:paraId="04AAB929" w14:textId="77777777" w:rsidR="006E7482" w:rsidRPr="006E7482" w:rsidRDefault="006E7482" w:rsidP="006E7482">
            <w:pPr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Celkový součet</w:t>
            </w:r>
          </w:p>
        </w:tc>
        <w:tc>
          <w:tcPr>
            <w:tcW w:w="1417" w:type="dxa"/>
            <w:noWrap/>
            <w:vAlign w:val="center"/>
            <w:hideMark/>
          </w:tcPr>
          <w:p w14:paraId="248DFBB0" w14:textId="77777777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14:paraId="75FD65B4" w14:textId="77777777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14:paraId="15339145" w14:textId="77777777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7658C6AD" w14:textId="77777777" w:rsidR="006E7482" w:rsidRPr="006E7482" w:rsidRDefault="006E7482" w:rsidP="006E748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E7482">
              <w:rPr>
                <w:rFonts w:cs="Calibri"/>
                <w:b/>
                <w:bCs/>
                <w:sz w:val="22"/>
                <w:szCs w:val="22"/>
              </w:rPr>
              <w:t>50</w:t>
            </w:r>
          </w:p>
        </w:tc>
      </w:tr>
    </w:tbl>
    <w:p w14:paraId="5E0C8262" w14:textId="7F96960E" w:rsidR="00557471" w:rsidRDefault="00557471" w:rsidP="00557471">
      <w:pPr>
        <w:rPr>
          <w:sz w:val="22"/>
          <w:szCs w:val="22"/>
        </w:rPr>
      </w:pPr>
      <w:r>
        <w:t xml:space="preserve">Použitá technologie docházkových karet: MIFARE </w:t>
      </w:r>
      <w:proofErr w:type="spellStart"/>
      <w:r>
        <w:t>DESFire</w:t>
      </w:r>
      <w:proofErr w:type="spellEnd"/>
      <w:r>
        <w:t xml:space="preserve">, frekvence 13,56 </w:t>
      </w:r>
      <w:proofErr w:type="spellStart"/>
      <w:r>
        <w:t>Mhz</w:t>
      </w:r>
      <w:proofErr w:type="spellEnd"/>
    </w:p>
    <w:p w14:paraId="44E55E8A" w14:textId="20F2D966" w:rsidR="00557471" w:rsidRDefault="00557471"/>
    <w:p w14:paraId="00CA3C6D" w14:textId="697CD778" w:rsidR="00557471" w:rsidRDefault="00557471"/>
    <w:p w14:paraId="7563076F" w14:textId="732127C1" w:rsidR="00557471" w:rsidRDefault="00557471"/>
    <w:p w14:paraId="59FF0FD2" w14:textId="290EDD1B" w:rsidR="00557471" w:rsidRDefault="00557471"/>
    <w:p w14:paraId="3A452B47" w14:textId="77777777" w:rsidR="00557471" w:rsidRDefault="00557471"/>
    <w:p w14:paraId="20B57DE8" w14:textId="3B711DC4" w:rsidR="00881AD9" w:rsidRDefault="00881AD9" w:rsidP="00881AD9">
      <w:pPr>
        <w:rPr>
          <w:rFonts w:cs="Calibri"/>
          <w:b/>
          <w:bCs/>
          <w:color w:val="000000"/>
          <w:sz w:val="22"/>
          <w:szCs w:val="22"/>
        </w:rPr>
      </w:pPr>
      <w:r w:rsidRPr="009A2FBF">
        <w:rPr>
          <w:rFonts w:cs="Calibri"/>
          <w:b/>
          <w:bCs/>
          <w:color w:val="000000"/>
          <w:sz w:val="22"/>
          <w:szCs w:val="22"/>
        </w:rPr>
        <w:t>Předpokládaná HW konfigurace ERP systému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961"/>
      </w:tblGrid>
      <w:tr w:rsidR="00C16866" w:rsidRPr="002F7EC1" w14:paraId="02E9A07B" w14:textId="77777777" w:rsidTr="00A25A00">
        <w:trPr>
          <w:trHeight w:val="567"/>
        </w:trPr>
        <w:tc>
          <w:tcPr>
            <w:tcW w:w="42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356B7" w14:textId="77777777" w:rsidR="00C16866" w:rsidRPr="002F7EC1" w:rsidRDefault="00C16866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7EC1">
              <w:rPr>
                <w:b/>
                <w:bCs/>
                <w:color w:val="000000"/>
                <w:sz w:val="22"/>
                <w:szCs w:val="22"/>
              </w:rPr>
              <w:t>Servery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267EC" w14:textId="77777777" w:rsidR="00C16866" w:rsidRPr="002F7EC1" w:rsidRDefault="00C1686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2F7EC1">
              <w:rPr>
                <w:color w:val="000000"/>
                <w:sz w:val="22"/>
                <w:szCs w:val="22"/>
              </w:rPr>
              <w:t xml:space="preserve">1x </w:t>
            </w:r>
            <w:proofErr w:type="gramStart"/>
            <w:r w:rsidRPr="002F7EC1">
              <w:rPr>
                <w:color w:val="000000"/>
                <w:sz w:val="22"/>
                <w:szCs w:val="22"/>
              </w:rPr>
              <w:t>3-nódový</w:t>
            </w:r>
            <w:proofErr w:type="gramEnd"/>
            <w:r w:rsidRPr="002F7EC1">
              <w:rPr>
                <w:color w:val="000000"/>
                <w:sz w:val="22"/>
                <w:szCs w:val="22"/>
              </w:rPr>
              <w:t xml:space="preserve"> cluster virtualizovaných serverů</w:t>
            </w:r>
          </w:p>
        </w:tc>
      </w:tr>
      <w:tr w:rsidR="00C16866" w:rsidRPr="002F7EC1" w14:paraId="3745245B" w14:textId="77777777" w:rsidTr="00A25A00">
        <w:trPr>
          <w:trHeight w:val="288"/>
        </w:trPr>
        <w:tc>
          <w:tcPr>
            <w:tcW w:w="920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E36B2" w14:textId="77777777" w:rsidR="00C16866" w:rsidRPr="002F7EC1" w:rsidRDefault="00C16866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7EC1">
              <w:rPr>
                <w:b/>
                <w:bCs/>
                <w:color w:val="000000"/>
                <w:sz w:val="22"/>
                <w:szCs w:val="22"/>
              </w:rPr>
              <w:t>Parametry jednoho nodu</w:t>
            </w:r>
          </w:p>
        </w:tc>
      </w:tr>
      <w:tr w:rsidR="00C16866" w:rsidRPr="002F7EC1" w14:paraId="4937164C" w14:textId="77777777" w:rsidTr="00A25A00">
        <w:trPr>
          <w:trHeight w:val="288"/>
        </w:trPr>
        <w:tc>
          <w:tcPr>
            <w:tcW w:w="42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9091CB" w14:textId="77777777" w:rsidR="00C16866" w:rsidRPr="002F7EC1" w:rsidRDefault="00C16866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7EC1">
              <w:rPr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617AD" w14:textId="77777777" w:rsidR="00C16866" w:rsidRPr="002F7EC1" w:rsidRDefault="00C1686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2F7EC1">
              <w:rPr>
                <w:color w:val="000000"/>
                <w:sz w:val="22"/>
                <w:szCs w:val="22"/>
              </w:rPr>
              <w:t>756 GB</w:t>
            </w:r>
          </w:p>
        </w:tc>
      </w:tr>
      <w:tr w:rsidR="00C16866" w:rsidRPr="002F7EC1" w14:paraId="6552C537" w14:textId="77777777" w:rsidTr="00A25A00">
        <w:trPr>
          <w:trHeight w:val="288"/>
        </w:trPr>
        <w:tc>
          <w:tcPr>
            <w:tcW w:w="42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F4244" w14:textId="77777777" w:rsidR="00C16866" w:rsidRPr="002F7EC1" w:rsidRDefault="00C16866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7EC1">
              <w:rPr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E10AF" w14:textId="77777777" w:rsidR="00C16866" w:rsidRPr="002F7EC1" w:rsidRDefault="00C16866" w:rsidP="00C16866">
            <w:pPr>
              <w:spacing w:line="252" w:lineRule="auto"/>
              <w:jc w:val="left"/>
              <w:rPr>
                <w:color w:val="000000"/>
                <w:sz w:val="22"/>
                <w:szCs w:val="22"/>
              </w:rPr>
            </w:pPr>
            <w:r w:rsidRPr="002F7EC1">
              <w:rPr>
                <w:color w:val="000000"/>
                <w:sz w:val="22"/>
                <w:szCs w:val="22"/>
              </w:rPr>
              <w:t xml:space="preserve">Intel® </w:t>
            </w:r>
            <w:proofErr w:type="spellStart"/>
            <w:r w:rsidRPr="002F7EC1">
              <w:rPr>
                <w:color w:val="000000"/>
                <w:sz w:val="22"/>
                <w:szCs w:val="22"/>
              </w:rPr>
              <w:t>Xeon</w:t>
            </w:r>
            <w:proofErr w:type="spellEnd"/>
            <w:r w:rsidRPr="002F7EC1">
              <w:rPr>
                <w:color w:val="000000"/>
                <w:sz w:val="22"/>
                <w:szCs w:val="22"/>
              </w:rPr>
              <w:t xml:space="preserve">® Gold </w:t>
            </w:r>
            <w:proofErr w:type="gramStart"/>
            <w:r w:rsidRPr="002F7EC1">
              <w:rPr>
                <w:color w:val="000000"/>
                <w:sz w:val="22"/>
                <w:szCs w:val="22"/>
              </w:rPr>
              <w:t>5218N</w:t>
            </w:r>
            <w:proofErr w:type="gramEnd"/>
            <w:r w:rsidRPr="002F7EC1">
              <w:rPr>
                <w:color w:val="000000"/>
                <w:sz w:val="22"/>
                <w:szCs w:val="22"/>
              </w:rPr>
              <w:t xml:space="preserve"> 2.3G, 16C/32T, 10.4GT/s, 22M </w:t>
            </w:r>
            <w:proofErr w:type="spellStart"/>
            <w:r w:rsidRPr="002F7EC1">
              <w:rPr>
                <w:color w:val="000000"/>
                <w:sz w:val="22"/>
                <w:szCs w:val="22"/>
              </w:rPr>
              <w:t>Cache</w:t>
            </w:r>
            <w:proofErr w:type="spellEnd"/>
            <w:r w:rsidRPr="002F7EC1">
              <w:rPr>
                <w:color w:val="000000"/>
                <w:sz w:val="22"/>
                <w:szCs w:val="22"/>
              </w:rPr>
              <w:t>, Turbo, HT (110W) DDR4-2666</w:t>
            </w:r>
          </w:p>
        </w:tc>
      </w:tr>
      <w:tr w:rsidR="00C16866" w:rsidRPr="002F7EC1" w14:paraId="4618DF5A" w14:textId="77777777" w:rsidTr="00A25A00">
        <w:trPr>
          <w:trHeight w:val="288"/>
        </w:trPr>
        <w:tc>
          <w:tcPr>
            <w:tcW w:w="42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4BF4D" w14:textId="77777777" w:rsidR="00C16866" w:rsidRPr="002F7EC1" w:rsidRDefault="00C16866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7EC1">
              <w:rPr>
                <w:b/>
                <w:bCs/>
                <w:color w:val="000000"/>
                <w:sz w:val="22"/>
                <w:szCs w:val="22"/>
              </w:rPr>
              <w:t>LAN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BAB2A" w14:textId="77777777" w:rsidR="00C16866" w:rsidRPr="002F7EC1" w:rsidRDefault="00C1686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2F7EC1">
              <w:rPr>
                <w:color w:val="000000"/>
                <w:sz w:val="22"/>
                <w:szCs w:val="22"/>
              </w:rPr>
              <w:t>2x 10Gb port</w:t>
            </w:r>
          </w:p>
          <w:p w14:paraId="49B23AF5" w14:textId="77777777" w:rsidR="00C16866" w:rsidRPr="002F7EC1" w:rsidRDefault="00C1686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2F7EC1">
              <w:rPr>
                <w:color w:val="000000"/>
                <w:sz w:val="22"/>
                <w:szCs w:val="22"/>
              </w:rPr>
              <w:t>4x 1Gb port</w:t>
            </w:r>
          </w:p>
          <w:p w14:paraId="558C9488" w14:textId="77777777" w:rsidR="00C16866" w:rsidRPr="002F7EC1" w:rsidRDefault="00C1686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F7EC1">
              <w:rPr>
                <w:sz w:val="22"/>
                <w:szCs w:val="22"/>
              </w:rPr>
              <w:t>Broadcom</w:t>
            </w:r>
            <w:proofErr w:type="spellEnd"/>
            <w:r w:rsidRPr="002F7EC1">
              <w:rPr>
                <w:sz w:val="22"/>
                <w:szCs w:val="22"/>
              </w:rPr>
              <w:t xml:space="preserve"> 57416 </w:t>
            </w:r>
            <w:proofErr w:type="spellStart"/>
            <w:r w:rsidRPr="002F7EC1">
              <w:rPr>
                <w:sz w:val="22"/>
                <w:szCs w:val="22"/>
              </w:rPr>
              <w:t>Dual</w:t>
            </w:r>
            <w:proofErr w:type="spellEnd"/>
            <w:r w:rsidRPr="002F7EC1">
              <w:rPr>
                <w:sz w:val="22"/>
                <w:szCs w:val="22"/>
              </w:rPr>
              <w:t xml:space="preserve"> Port 10GbE BASE-T &amp; 5720 </w:t>
            </w:r>
            <w:proofErr w:type="spellStart"/>
            <w:r w:rsidRPr="002F7EC1">
              <w:rPr>
                <w:sz w:val="22"/>
                <w:szCs w:val="22"/>
              </w:rPr>
              <w:t>Dual</w:t>
            </w:r>
            <w:proofErr w:type="spellEnd"/>
            <w:r w:rsidRPr="002F7EC1">
              <w:rPr>
                <w:sz w:val="22"/>
                <w:szCs w:val="22"/>
              </w:rPr>
              <w:t xml:space="preserve"> Port 1GbE BASE-T, </w:t>
            </w:r>
            <w:proofErr w:type="spellStart"/>
            <w:r w:rsidRPr="002F7EC1">
              <w:rPr>
                <w:sz w:val="22"/>
                <w:szCs w:val="22"/>
              </w:rPr>
              <w:t>rNDC</w:t>
            </w:r>
            <w:proofErr w:type="spellEnd"/>
          </w:p>
          <w:p w14:paraId="0D2B02D8" w14:textId="77777777" w:rsidR="00C16866" w:rsidRPr="002F7EC1" w:rsidRDefault="00C1686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F7EC1">
              <w:rPr>
                <w:sz w:val="22"/>
                <w:szCs w:val="22"/>
              </w:rPr>
              <w:t>Broadcom</w:t>
            </w:r>
            <w:proofErr w:type="spellEnd"/>
            <w:r w:rsidRPr="002F7EC1">
              <w:rPr>
                <w:sz w:val="22"/>
                <w:szCs w:val="22"/>
              </w:rPr>
              <w:t xml:space="preserve"> 57412 </w:t>
            </w:r>
            <w:proofErr w:type="spellStart"/>
            <w:r w:rsidRPr="002F7EC1">
              <w:rPr>
                <w:sz w:val="22"/>
                <w:szCs w:val="22"/>
              </w:rPr>
              <w:t>Dual</w:t>
            </w:r>
            <w:proofErr w:type="spellEnd"/>
            <w:r w:rsidRPr="002F7EC1">
              <w:rPr>
                <w:sz w:val="22"/>
                <w:szCs w:val="22"/>
              </w:rPr>
              <w:t xml:space="preserve"> Port 10Gb, SFP+, </w:t>
            </w:r>
            <w:proofErr w:type="spellStart"/>
            <w:r w:rsidRPr="002F7EC1">
              <w:rPr>
                <w:sz w:val="22"/>
                <w:szCs w:val="22"/>
              </w:rPr>
              <w:t>PCIe</w:t>
            </w:r>
            <w:proofErr w:type="spellEnd"/>
            <w:r w:rsidRPr="002F7EC1">
              <w:rPr>
                <w:sz w:val="22"/>
                <w:szCs w:val="22"/>
              </w:rPr>
              <w:t xml:space="preserve"> Adapter, Full </w:t>
            </w:r>
            <w:proofErr w:type="spellStart"/>
            <w:r w:rsidRPr="002F7EC1">
              <w:rPr>
                <w:sz w:val="22"/>
                <w:szCs w:val="22"/>
              </w:rPr>
              <w:t>Height</w:t>
            </w:r>
            <w:proofErr w:type="spellEnd"/>
          </w:p>
        </w:tc>
      </w:tr>
      <w:tr w:rsidR="00C16866" w:rsidRPr="002F7EC1" w14:paraId="5AA96BD8" w14:textId="77777777" w:rsidTr="00A25A00">
        <w:trPr>
          <w:trHeight w:val="288"/>
        </w:trPr>
        <w:tc>
          <w:tcPr>
            <w:tcW w:w="42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D5317" w14:textId="77777777" w:rsidR="00C16866" w:rsidRPr="002F7EC1" w:rsidRDefault="00C16866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7EC1">
              <w:rPr>
                <w:b/>
                <w:bCs/>
                <w:color w:val="000000"/>
                <w:sz w:val="22"/>
                <w:szCs w:val="22"/>
              </w:rPr>
              <w:t>Diskové pole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97991" w14:textId="77777777" w:rsidR="00C16866" w:rsidRPr="002F7EC1" w:rsidRDefault="00C16866">
            <w:pPr>
              <w:pStyle w:val="Default"/>
              <w:rPr>
                <w:sz w:val="22"/>
                <w:szCs w:val="22"/>
              </w:rPr>
            </w:pPr>
            <w:r w:rsidRPr="002F7EC1">
              <w:rPr>
                <w:sz w:val="22"/>
                <w:szCs w:val="22"/>
              </w:rPr>
              <w:t>Unity 380 Hybrid DPE – EMEA</w:t>
            </w:r>
          </w:p>
        </w:tc>
      </w:tr>
      <w:tr w:rsidR="00C16866" w:rsidRPr="002F7EC1" w14:paraId="6CC48957" w14:textId="77777777" w:rsidTr="00A25A00">
        <w:trPr>
          <w:trHeight w:val="288"/>
        </w:trPr>
        <w:tc>
          <w:tcPr>
            <w:tcW w:w="42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B11D7" w14:textId="77777777" w:rsidR="00C16866" w:rsidRPr="002F7EC1" w:rsidRDefault="00C16866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7EC1">
              <w:rPr>
                <w:b/>
                <w:bCs/>
                <w:color w:val="000000"/>
                <w:sz w:val="22"/>
                <w:szCs w:val="22"/>
              </w:rPr>
              <w:t>Kapacita diskového pole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82CD0" w14:textId="77777777" w:rsidR="00C16866" w:rsidRPr="002F7EC1" w:rsidRDefault="00C16866">
            <w:pPr>
              <w:pStyle w:val="Default"/>
              <w:rPr>
                <w:sz w:val="22"/>
                <w:szCs w:val="22"/>
              </w:rPr>
            </w:pPr>
            <w:r w:rsidRPr="002F7EC1">
              <w:rPr>
                <w:sz w:val="22"/>
                <w:szCs w:val="22"/>
              </w:rPr>
              <w:t>9x 3.2TB SAS FLASH 25X2.5 SSD</w:t>
            </w:r>
          </w:p>
          <w:p w14:paraId="7CABFAE1" w14:textId="77777777" w:rsidR="00C16866" w:rsidRPr="002F7EC1" w:rsidRDefault="00C16866">
            <w:pPr>
              <w:pStyle w:val="Default"/>
              <w:rPr>
                <w:sz w:val="22"/>
                <w:szCs w:val="22"/>
              </w:rPr>
            </w:pPr>
            <w:r w:rsidRPr="002F7EC1">
              <w:rPr>
                <w:sz w:val="22"/>
                <w:szCs w:val="22"/>
              </w:rPr>
              <w:t>12x 1.2 TB 10K SAS 25X2.5 DRIVE</w:t>
            </w:r>
          </w:p>
        </w:tc>
      </w:tr>
    </w:tbl>
    <w:p w14:paraId="7D8FC81C" w14:textId="0FFCC732" w:rsidR="00C16866" w:rsidRDefault="00C16866" w:rsidP="00881AD9">
      <w:pPr>
        <w:rPr>
          <w:rFonts w:cs="Calibri"/>
          <w:b/>
          <w:bCs/>
          <w:color w:val="000000"/>
          <w:sz w:val="22"/>
          <w:szCs w:val="22"/>
        </w:rPr>
      </w:pPr>
    </w:p>
    <w:p w14:paraId="6F7287BA" w14:textId="77777777" w:rsidR="00C16866" w:rsidRPr="009A2FBF" w:rsidRDefault="00C16866" w:rsidP="00881AD9">
      <w:pPr>
        <w:rPr>
          <w:rFonts w:cs="Calibri"/>
          <w:b/>
          <w:bCs/>
          <w:color w:val="000000"/>
          <w:sz w:val="22"/>
          <w:szCs w:val="22"/>
        </w:rPr>
      </w:pPr>
    </w:p>
    <w:p w14:paraId="7D19026A" w14:textId="77777777" w:rsidR="00156EA1" w:rsidRDefault="00156EA1"/>
    <w:p w14:paraId="64242F10" w14:textId="32F85D1D" w:rsidR="00F44F9D" w:rsidRDefault="00562D8F">
      <w:r>
        <w:t xml:space="preserve">Svým podpisem stvrzuji, že </w:t>
      </w:r>
      <w:r w:rsidR="009F0508">
        <w:t>parametry uvedeného prostředí jsou dostatečné pro námi</w:t>
      </w:r>
    </w:p>
    <w:p w14:paraId="6D29B8E4" w14:textId="2C683D68" w:rsidR="009F0508" w:rsidRDefault="009F0508">
      <w:r>
        <w:t>nav</w:t>
      </w:r>
      <w:r w:rsidR="00F44F9D">
        <w:t>r</w:t>
      </w:r>
      <w:r>
        <w:t>žené řešení</w:t>
      </w:r>
      <w:r w:rsidR="00A20384">
        <w:t xml:space="preserve"> a nebude </w:t>
      </w:r>
      <w:r w:rsidR="00557471">
        <w:t>tedy</w:t>
      </w:r>
      <w:r w:rsidR="00A20384">
        <w:t xml:space="preserve"> po dobu minimálně sedmi let třeba upgradovat HW a SW</w:t>
      </w:r>
      <w:r>
        <w:t>.</w:t>
      </w:r>
    </w:p>
    <w:p w14:paraId="6E9D8886" w14:textId="0A9A0DCD" w:rsidR="00F44F9D" w:rsidRDefault="00F44F9D"/>
    <w:p w14:paraId="53101E21" w14:textId="2C60BBB8" w:rsidR="00557471" w:rsidRDefault="00557471"/>
    <w:p w14:paraId="160E529F" w14:textId="3E8449E5" w:rsidR="00557471" w:rsidRDefault="00557471"/>
    <w:p w14:paraId="7413AF81" w14:textId="3240D57C" w:rsidR="00557471" w:rsidRDefault="00557471"/>
    <w:p w14:paraId="7C4AC5FE" w14:textId="77777777" w:rsidR="00557471" w:rsidRDefault="00557471"/>
    <w:p w14:paraId="5D2AD763" w14:textId="36088849" w:rsidR="00F44F9D" w:rsidRDefault="00F44F9D"/>
    <w:p w14:paraId="298AF1C5" w14:textId="77777777" w:rsidR="00557471" w:rsidRDefault="00557471"/>
    <w:p w14:paraId="0BA52282" w14:textId="77777777" w:rsidR="00557471" w:rsidRDefault="00557471"/>
    <w:p w14:paraId="4412EA28" w14:textId="77777777" w:rsidR="00F44F9D" w:rsidRDefault="00F44F9D"/>
    <w:p w14:paraId="67D77701" w14:textId="77777777" w:rsidR="009F0508" w:rsidRDefault="009F0508"/>
    <w:p w14:paraId="08407004" w14:textId="77777777" w:rsidR="00562D8F" w:rsidRDefault="00562D8F" w:rsidP="00562D8F">
      <w:pPr>
        <w:jc w:val="right"/>
      </w:pPr>
      <w:r>
        <w:t>_______________________</w:t>
      </w:r>
      <w:r>
        <w:softHyphen/>
        <w:t>________________</w:t>
      </w:r>
    </w:p>
    <w:p w14:paraId="08407005" w14:textId="77777777" w:rsidR="00562D8F" w:rsidRDefault="00562D8F" w:rsidP="00562D8F">
      <w:pPr>
        <w:jc w:val="right"/>
      </w:pPr>
      <w:r w:rsidRPr="00562D8F">
        <w:rPr>
          <w:highlight w:val="yellow"/>
        </w:rPr>
        <w:t>Datum, místo, razítko a podpis osoby oprávněné jednat za dodavatele</w:t>
      </w:r>
    </w:p>
    <w:sectPr w:rsidR="00562D8F" w:rsidSect="00F65C2F">
      <w:footerReference w:type="default" r:id="rId12"/>
      <w:footerReference w:type="first" r:id="rId13"/>
      <w:pgSz w:w="11906" w:h="16838" w:code="9"/>
      <w:pgMar w:top="1418" w:right="1418" w:bottom="851" w:left="1418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105D" w14:textId="77777777" w:rsidR="00743866" w:rsidRDefault="00743866">
      <w:r>
        <w:separator/>
      </w:r>
    </w:p>
  </w:endnote>
  <w:endnote w:type="continuationSeparator" w:id="0">
    <w:p w14:paraId="7061CA9B" w14:textId="77777777" w:rsidR="00743866" w:rsidRDefault="0074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7006" w14:textId="77777777" w:rsidR="00361233" w:rsidRPr="00361233" w:rsidRDefault="00562D8F" w:rsidP="00361233">
    <w:pPr>
      <w:pStyle w:val="Zpat"/>
      <w:jc w:val="center"/>
      <w:rPr>
        <w:rFonts w:asciiTheme="minorHAnsi" w:hAnsiTheme="minorHAnsi" w:cstheme="minorHAnsi"/>
      </w:rPr>
    </w:pPr>
    <w:r w:rsidRPr="00361233">
      <w:rPr>
        <w:rFonts w:asciiTheme="minorHAnsi" w:hAnsiTheme="minorHAnsi" w:cstheme="minorHAnsi"/>
      </w:rPr>
      <w:t xml:space="preserve">Strana </w:t>
    </w:r>
    <w:r w:rsidRPr="00361233">
      <w:rPr>
        <w:rFonts w:asciiTheme="minorHAnsi" w:hAnsiTheme="minorHAnsi" w:cstheme="minorHAnsi"/>
      </w:rPr>
      <w:fldChar w:fldCharType="begin"/>
    </w:r>
    <w:r w:rsidRPr="00361233">
      <w:rPr>
        <w:rFonts w:asciiTheme="minorHAnsi" w:hAnsiTheme="minorHAnsi" w:cstheme="minorHAnsi"/>
      </w:rPr>
      <w:instrText xml:space="preserve"> PAGE </w:instrText>
    </w:r>
    <w:r w:rsidRPr="0036123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10</w:t>
    </w:r>
    <w:r w:rsidRPr="00361233">
      <w:rPr>
        <w:rFonts w:asciiTheme="minorHAnsi" w:hAnsiTheme="minorHAnsi" w:cstheme="minorHAnsi"/>
      </w:rPr>
      <w:fldChar w:fldCharType="end"/>
    </w:r>
    <w:r w:rsidRPr="00361233">
      <w:rPr>
        <w:rFonts w:asciiTheme="minorHAnsi" w:hAnsiTheme="minorHAnsi" w:cstheme="minorHAnsi"/>
      </w:rPr>
      <w:t xml:space="preserve"> (celkem </w:t>
    </w:r>
    <w:r w:rsidRPr="00361233">
      <w:rPr>
        <w:rFonts w:asciiTheme="minorHAnsi" w:hAnsiTheme="minorHAnsi" w:cstheme="minorHAnsi"/>
      </w:rPr>
      <w:fldChar w:fldCharType="begin"/>
    </w:r>
    <w:r w:rsidRPr="00361233">
      <w:rPr>
        <w:rFonts w:asciiTheme="minorHAnsi" w:hAnsiTheme="minorHAnsi" w:cstheme="minorHAnsi"/>
      </w:rPr>
      <w:instrText xml:space="preserve"> NUMPAGES </w:instrText>
    </w:r>
    <w:r w:rsidRPr="0036123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10</w:t>
    </w:r>
    <w:r w:rsidRPr="00361233">
      <w:rPr>
        <w:rFonts w:asciiTheme="minorHAnsi" w:hAnsiTheme="minorHAnsi" w:cstheme="minorHAnsi"/>
      </w:rPr>
      <w:fldChar w:fldCharType="end"/>
    </w:r>
    <w:r w:rsidRPr="00361233">
      <w:rPr>
        <w:rFonts w:asciiTheme="minorHAnsi" w:hAnsiTheme="minorHAnsi" w:cstheme="minorHAnsi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7007" w14:textId="25C8D438" w:rsidR="006656BB" w:rsidRPr="00D57473" w:rsidRDefault="00562D8F" w:rsidP="00D57473">
    <w:pPr>
      <w:pStyle w:val="Zpat"/>
      <w:jc w:val="center"/>
      <w:rPr>
        <w:rFonts w:asciiTheme="minorHAnsi" w:hAnsiTheme="minorHAnsi" w:cstheme="minorHAnsi"/>
        <w:sz w:val="22"/>
        <w:szCs w:val="18"/>
      </w:rPr>
    </w:pPr>
    <w:r w:rsidRPr="00D57473">
      <w:rPr>
        <w:rFonts w:asciiTheme="minorHAnsi" w:hAnsiTheme="minorHAnsi" w:cstheme="minorHAnsi"/>
        <w:sz w:val="20"/>
        <w:szCs w:val="16"/>
      </w:rPr>
      <w:t xml:space="preserve">Strana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PAGE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 w:rsidR="00F81135">
      <w:rPr>
        <w:rFonts w:asciiTheme="minorHAnsi" w:hAnsiTheme="minorHAnsi" w:cstheme="minorHAnsi"/>
        <w:noProof/>
        <w:sz w:val="20"/>
        <w:szCs w:val="16"/>
      </w:rPr>
      <w:t>1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 xml:space="preserve"> (celkem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NUMPAGES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 w:rsidR="00F81135">
      <w:rPr>
        <w:rFonts w:asciiTheme="minorHAnsi" w:hAnsiTheme="minorHAnsi" w:cstheme="minorHAnsi"/>
        <w:noProof/>
        <w:sz w:val="20"/>
        <w:szCs w:val="16"/>
      </w:rPr>
      <w:t>1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A1AE" w14:textId="77777777" w:rsidR="00743866" w:rsidRDefault="00743866">
      <w:r>
        <w:separator/>
      </w:r>
    </w:p>
  </w:footnote>
  <w:footnote w:type="continuationSeparator" w:id="0">
    <w:p w14:paraId="6C88AF52" w14:textId="77777777" w:rsidR="00743866" w:rsidRDefault="0074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D"/>
    <w:rsid w:val="00035635"/>
    <w:rsid w:val="00037210"/>
    <w:rsid w:val="00090618"/>
    <w:rsid w:val="000C4D7E"/>
    <w:rsid w:val="00156EA1"/>
    <w:rsid w:val="00274911"/>
    <w:rsid w:val="00277D67"/>
    <w:rsid w:val="002F5BA5"/>
    <w:rsid w:val="002F7EC1"/>
    <w:rsid w:val="003424FC"/>
    <w:rsid w:val="003A4A8F"/>
    <w:rsid w:val="003B6AB3"/>
    <w:rsid w:val="003C1EDA"/>
    <w:rsid w:val="00413939"/>
    <w:rsid w:val="004560B5"/>
    <w:rsid w:val="00472767"/>
    <w:rsid w:val="00482A72"/>
    <w:rsid w:val="004902A4"/>
    <w:rsid w:val="0049266E"/>
    <w:rsid w:val="004B26BC"/>
    <w:rsid w:val="00557471"/>
    <w:rsid w:val="00562D8F"/>
    <w:rsid w:val="005859C5"/>
    <w:rsid w:val="005877AE"/>
    <w:rsid w:val="00591C8F"/>
    <w:rsid w:val="005D7F1D"/>
    <w:rsid w:val="005E14CC"/>
    <w:rsid w:val="00601666"/>
    <w:rsid w:val="006116AC"/>
    <w:rsid w:val="00625A58"/>
    <w:rsid w:val="006321CD"/>
    <w:rsid w:val="006A1B83"/>
    <w:rsid w:val="006A38BF"/>
    <w:rsid w:val="006D389C"/>
    <w:rsid w:val="006E0CE5"/>
    <w:rsid w:val="006E7482"/>
    <w:rsid w:val="006F0284"/>
    <w:rsid w:val="00743866"/>
    <w:rsid w:val="0076296C"/>
    <w:rsid w:val="00762B98"/>
    <w:rsid w:val="00776A34"/>
    <w:rsid w:val="007C6208"/>
    <w:rsid w:val="00862A23"/>
    <w:rsid w:val="00881AD9"/>
    <w:rsid w:val="00895E1B"/>
    <w:rsid w:val="008F2230"/>
    <w:rsid w:val="009A2FBF"/>
    <w:rsid w:val="009E4B9D"/>
    <w:rsid w:val="009F0508"/>
    <w:rsid w:val="00A20384"/>
    <w:rsid w:val="00A25A00"/>
    <w:rsid w:val="00A55AEB"/>
    <w:rsid w:val="00B544A4"/>
    <w:rsid w:val="00BD07BD"/>
    <w:rsid w:val="00C1426B"/>
    <w:rsid w:val="00C16866"/>
    <w:rsid w:val="00CC41C1"/>
    <w:rsid w:val="00CD5377"/>
    <w:rsid w:val="00D76CB1"/>
    <w:rsid w:val="00D81B34"/>
    <w:rsid w:val="00DE5E30"/>
    <w:rsid w:val="00E20DBE"/>
    <w:rsid w:val="00E379FF"/>
    <w:rsid w:val="00F13637"/>
    <w:rsid w:val="00F44F9D"/>
    <w:rsid w:val="00F47DA9"/>
    <w:rsid w:val="00F81135"/>
    <w:rsid w:val="00FA3040"/>
    <w:rsid w:val="00FE6412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6FDB"/>
  <w15:chartTrackingRefBased/>
  <w15:docId w15:val="{45A699B7-CD92-4703-8E47-F2582F5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B9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4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9E4B9D"/>
    <w:pPr>
      <w:keepNext w:val="0"/>
      <w:keepLines w:val="0"/>
      <w:numPr>
        <w:ilvl w:val="1"/>
        <w:numId w:val="1"/>
      </w:numPr>
      <w:spacing w:before="0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9E4B9D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paragraph" w:styleId="Zpat">
    <w:name w:val="footer"/>
    <w:basedOn w:val="Normln"/>
    <w:link w:val="ZpatChar"/>
    <w:rsid w:val="009E4B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B9D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SBSSmlouva">
    <w:name w:val="SBS Smlouva"/>
    <w:basedOn w:val="Normln"/>
    <w:rsid w:val="009E4B9D"/>
    <w:pPr>
      <w:numPr>
        <w:numId w:val="1"/>
      </w:numPr>
      <w:spacing w:before="120"/>
      <w:jc w:val="left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9E4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11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1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13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1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13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13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D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472767"/>
    <w:pPr>
      <w:spacing w:after="120" w:line="276" w:lineRule="auto"/>
      <w:jc w:val="left"/>
    </w:pPr>
    <w:rPr>
      <w:rFonts w:eastAsia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2767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A2F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C16866"/>
    <w:pPr>
      <w:autoSpaceDE w:val="0"/>
      <w:autoSpaceDN w:val="0"/>
      <w:jc w:val="left"/>
    </w:pPr>
    <w:rPr>
      <w:rFonts w:eastAsiaTheme="minorHAns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NP55VW6ZVVYM-1551701539-301</_dlc_DocId>
    <_dlc_DocIdUrl xmlns="ba73f000-ffbf-4b25-9de3-469a7180441c">
      <Url>http://intranet.tomaho.cz/projekty/vop003/_layouts/15/DocIdRedir.aspx?ID=NP55VW6ZVVYM-1551701539-301</Url>
      <Description>NP55VW6ZVVYM-1551701539-301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0" ma:contentTypeDescription="Vytvoří nový dokument" ma:contentTypeScope="" ma:versionID="33b2d991d65eb871a4f26b0581dd6bf6">
  <xsd:schema xmlns:xsd="http://www.w3.org/2001/XMLSchema" xmlns:xs="http://www.w3.org/2001/XMLSchema" xmlns:p="http://schemas.microsoft.com/office/2006/metadata/properties" xmlns:ns2="ba73f000-ffbf-4b25-9de3-469a7180441c" targetNamespace="http://schemas.microsoft.com/office/2006/metadata/properties" ma:root="true" ma:fieldsID="64fbfaf9082adf4dbe90456c94c189f1" ns2:_="">
    <xsd:import namespace="ba73f000-ffbf-4b25-9de3-469a71804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A637-AA27-494A-A5ED-A5F3EB222562}">
  <ds:schemaRefs>
    <ds:schemaRef ds:uri="http://schemas.microsoft.com/office/2006/metadata/properties"/>
    <ds:schemaRef ds:uri="http://schemas.microsoft.com/office/infopath/2007/PartnerControls"/>
    <ds:schemaRef ds:uri="ba73f000-ffbf-4b25-9de3-469a7180441c"/>
  </ds:schemaRefs>
</ds:datastoreItem>
</file>

<file path=customXml/itemProps2.xml><?xml version="1.0" encoding="utf-8"?>
<ds:datastoreItem xmlns:ds="http://schemas.openxmlformats.org/officeDocument/2006/customXml" ds:itemID="{E0740A62-8D82-4408-AE59-0CA08B69C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1C273-3CF4-42FB-B773-644B594BF9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560B55-8451-4830-8567-13CB7BC5D9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56E31-2B4F-4FCC-88F4-E2862BCE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Martin Sedlář</cp:lastModifiedBy>
  <cp:revision>5</cp:revision>
  <dcterms:created xsi:type="dcterms:W3CDTF">2021-10-21T09:08:00Z</dcterms:created>
  <dcterms:modified xsi:type="dcterms:W3CDTF">2021-12-17T06:49:00Z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14c96f6b-6b20-49ad-bf9d-bb505188f23d</vt:lpwstr>
  </property>
  <property fmtid="{D5CDD505-2E9C-101B-9397-08002B2CF9AE}" pid="3" name="ContentTypeId">
    <vt:lpwstr>0x0101002A2BE3360737C7408B6F385527FD4849</vt:lpwstr>
  </property>
</Properties>
</file>