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2B9E55A3" w:rsidR="00D655E0" w:rsidRPr="006C4BB8" w:rsidRDefault="006C4BB8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6C4BB8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VZMR/034/2/2025 </w:t>
            </w:r>
            <w:r w:rsidRPr="006C4BB8">
              <w:rPr>
                <w:rFonts w:ascii="Arial" w:hAnsi="Arial"/>
                <w:b/>
                <w:bCs/>
                <w:sz w:val="22"/>
                <w:szCs w:val="22"/>
              </w:rPr>
              <w:t>Provádění oprav svářecích hořáků a svářecích kabelů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386"/>
    <w:rsid w:val="00221F70"/>
    <w:rsid w:val="002804E5"/>
    <w:rsid w:val="002838A8"/>
    <w:rsid w:val="002A3194"/>
    <w:rsid w:val="003D50BE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C11B27"/>
    <w:rsid w:val="00C41A30"/>
    <w:rsid w:val="00C441B8"/>
    <w:rsid w:val="00CE29C0"/>
    <w:rsid w:val="00D579A6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2025-06-24T13:46:00Z</dcterms:created>
  <dcterms:modified xsi:type="dcterms:W3CDTF">2025-06-24T13:46:00Z</dcterms:modified>
</cp:coreProperties>
</file>