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7EA25589" w:rsidR="00D655E0" w:rsidRPr="006B4445" w:rsidRDefault="006B4445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6B4445">
              <w:rPr>
                <w:rFonts w:ascii="Arial" w:hAnsi="Arial"/>
                <w:b/>
                <w:bCs/>
                <w:sz w:val="22"/>
                <w:szCs w:val="22"/>
              </w:rPr>
              <w:t>OVZ/023/3/2025 - Dodávky technických plynů – 2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15780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15780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15780B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15780B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87E0" w14:textId="77777777" w:rsidR="0015780B" w:rsidRDefault="001578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CC51" w14:textId="77777777" w:rsidR="0015780B" w:rsidRDefault="00157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8A53" w14:textId="77777777" w:rsidR="0015780B" w:rsidRDefault="001578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5BB8955B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15780B">
      <w:rPr>
        <w:rFonts w:ascii="Arial" w:hAnsi="Arial"/>
        <w:sz w:val="20"/>
        <w:szCs w:val="20"/>
      </w:rPr>
      <w:t>6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A87" w14:textId="77777777" w:rsidR="0015780B" w:rsidRDefault="001578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94148"/>
    <w:rsid w:val="000B72D0"/>
    <w:rsid w:val="000D7518"/>
    <w:rsid w:val="000D7BB6"/>
    <w:rsid w:val="00150B60"/>
    <w:rsid w:val="001557C0"/>
    <w:rsid w:val="0015780B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6B4445"/>
    <w:rsid w:val="007055E2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2024-12-04T07:46:00Z</dcterms:created>
  <dcterms:modified xsi:type="dcterms:W3CDTF">2025-11-13T14:45:00Z</dcterms:modified>
</cp:coreProperties>
</file>